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C28A" w14:textId="441020A8" w:rsidR="003F761C" w:rsidRDefault="00000000" w:rsidP="000918D8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0918D8" w:rsidRPr="000918D8">
        <w:rPr>
          <w:rFonts w:ascii="方正小标宋简体" w:eastAsia="方正小标宋简体" w:hint="eastAsia"/>
          <w:bCs/>
          <w:sz w:val="44"/>
          <w:szCs w:val="44"/>
          <w:lang w:val="en-US"/>
        </w:rPr>
        <w:t>新时期科技园区高质量发展路径研究—以中关村门头沟园为例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0918D8">
        <w:rPr>
          <w:rFonts w:ascii="方正小标宋简体" w:eastAsia="方正小标宋简体" w:hint="eastAsia"/>
          <w:bCs/>
          <w:sz w:val="44"/>
          <w:szCs w:val="44"/>
        </w:rPr>
        <w:t>课题需求</w:t>
      </w:r>
      <w:r w:rsidR="00550D61">
        <w:rPr>
          <w:rFonts w:ascii="方正小标宋简体" w:eastAsia="方正小标宋简体" w:hint="eastAsia"/>
          <w:bCs/>
          <w:sz w:val="44"/>
          <w:szCs w:val="44"/>
        </w:rPr>
        <w:t>方案</w:t>
      </w:r>
    </w:p>
    <w:p w14:paraId="57272B1C" w14:textId="77777777" w:rsidR="006F3958" w:rsidRPr="000918D8" w:rsidRDefault="006F3958" w:rsidP="000918D8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249E5F3" w14:textId="77777777" w:rsidR="003F761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76"/>
        <w:gridCol w:w="1347"/>
        <w:gridCol w:w="2509"/>
      </w:tblGrid>
      <w:tr w:rsidR="003F761C" w14:paraId="4DE7A1A1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08076F80" w14:textId="77777777" w:rsidR="003F761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204D3B46" w14:textId="77777777" w:rsidR="003F761C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中关村科技园区门头沟园</w:t>
            </w:r>
          </w:p>
        </w:tc>
      </w:tr>
      <w:tr w:rsidR="003F761C" w14:paraId="48B3CFCB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4A3075FA" w14:textId="77777777" w:rsidR="003F761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402AE584" w14:textId="77777777" w:rsidR="003F761C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委办局</w:t>
            </w:r>
          </w:p>
        </w:tc>
      </w:tr>
      <w:tr w:rsidR="003F761C" w14:paraId="7BC36973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35378C98" w14:textId="77777777" w:rsidR="003F761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2F1961A3" w14:textId="77777777" w:rsidR="003F761C" w:rsidRDefault="00000000">
            <w:pPr>
              <w:pStyle w:val="a7"/>
              <w:shd w:val="clear" w:color="auto" w:fill="FFFFFF"/>
              <w:spacing w:before="0" w:beforeAutospacing="0" w:after="300" w:afterAutospacing="0" w:line="480" w:lineRule="atLeast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门头沟区永安路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20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号石龙高科大厦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号楼</w:t>
            </w:r>
          </w:p>
        </w:tc>
      </w:tr>
      <w:tr w:rsidR="003F761C" w14:paraId="6CE367C2" w14:textId="77777777">
        <w:trPr>
          <w:trHeight w:val="2152"/>
          <w:jc w:val="center"/>
        </w:trPr>
        <w:tc>
          <w:tcPr>
            <w:tcW w:w="1668" w:type="dxa"/>
            <w:vAlign w:val="center"/>
          </w:tcPr>
          <w:p w14:paraId="12B16CAC" w14:textId="77777777" w:rsidR="003F761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3BA2BAC2" w14:textId="77777777" w:rsidR="003F761C" w:rsidRDefault="00000000">
            <w:pPr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hyperlink r:id="rId7" w:tgtFrame="https://baike.baidu.com/item/%E4%B8%AD%E5%85%B3%E6%9D%91%E9%97%A8%E5%A4%B4%E6%B2%9F%E5%9B%AD/_blank" w:history="1">
              <w:r>
                <w:rPr>
                  <w:rFonts w:ascii="Times New Roman Regular" w:eastAsia="方正仿宋简体" w:hAnsi="Times New Roman Regular" w:cs="Times New Roman Regular" w:hint="eastAsia"/>
                  <w:color w:val="000000"/>
                </w:rPr>
                <w:t>中关村科技园区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门头沟园前身是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1992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年设立的门头沟区石龙工业区（</w:t>
            </w:r>
            <w:hyperlink r:id="rId8" w:tgtFrame="https://baike.baidu.com/item/%E4%B8%AD%E5%85%B3%E6%9D%91%E9%97%A8%E5%A4%B4%E6%B2%9F%E5%9B%AD/_blank" w:history="1">
              <w:r>
                <w:rPr>
                  <w:rFonts w:ascii="Times New Roman Regular" w:eastAsia="方正仿宋简体" w:hAnsi="Times New Roman Regular" w:cs="Times New Roman Regular" w:hint="eastAsia"/>
                  <w:color w:val="000000"/>
                </w:rPr>
                <w:t>北京石龙经济开发区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），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2000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年被列为北京市级工业开发区，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2012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年纳入中关村国家自主创新示范区，规划面积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1.89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平方公里。园区地处长安街东西发展轴与西山永定河文化带交汇结点，是中关村一区十七园的重要组成部分，是新首钢高端产业综合服务区的重要组成部分。</w:t>
            </w:r>
          </w:p>
        </w:tc>
      </w:tr>
      <w:tr w:rsidR="003F761C" w14:paraId="7A22511D" w14:textId="77777777" w:rsidTr="004171C1">
        <w:trPr>
          <w:trHeight w:val="535"/>
          <w:jc w:val="center"/>
        </w:trPr>
        <w:tc>
          <w:tcPr>
            <w:tcW w:w="1668" w:type="dxa"/>
            <w:vAlign w:val="center"/>
          </w:tcPr>
          <w:p w14:paraId="6B108206" w14:textId="77777777" w:rsidR="003F761C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3076" w:type="dxa"/>
            <w:vAlign w:val="center"/>
          </w:tcPr>
          <w:p w14:paraId="73590674" w14:textId="10CF8692" w:rsidR="003F761C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李</w:t>
            </w:r>
            <w:r w:rsidR="004171C1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347" w:type="dxa"/>
            <w:vAlign w:val="center"/>
          </w:tcPr>
          <w:p w14:paraId="39598E19" w14:textId="1C194C48" w:rsidR="003F761C" w:rsidRDefault="004171C1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509" w:type="dxa"/>
            <w:vAlign w:val="center"/>
          </w:tcPr>
          <w:p w14:paraId="3BAD1599" w14:textId="5F76D123" w:rsidR="003F761C" w:rsidRDefault="004171C1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13911033866</w:t>
            </w:r>
          </w:p>
        </w:tc>
      </w:tr>
    </w:tbl>
    <w:p w14:paraId="5E8E6220" w14:textId="77777777" w:rsidR="003F761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3F761C" w14:paraId="5399B67B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74217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8F2561" w14:textId="77777777" w:rsidR="003F761C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新时期科技园区高质量发展路径研究—以中关村门头沟园为例</w:t>
            </w:r>
          </w:p>
        </w:tc>
      </w:tr>
      <w:tr w:rsidR="003F761C" w14:paraId="4B9A3FE6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A6805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571C5" w14:textId="77777777" w:rsidR="003F761C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科创智能</w:t>
            </w:r>
          </w:p>
        </w:tc>
      </w:tr>
      <w:tr w:rsidR="003F761C" w14:paraId="07888144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923045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2BF7A" w14:textId="77777777" w:rsidR="003F761C" w:rsidRDefault="00000000">
            <w:pPr>
              <w:adjustRightInd w:val="0"/>
              <w:snapToGrid w:val="0"/>
              <w:ind w:firstLineChars="200" w:firstLine="480"/>
              <w:jc w:val="both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中关村门头沟园坐落于生态涵养区，是门头沟区科技创新的主阵地。作为长安街沿线唯一的中关村科技园区，在“文旅体验、科创智能、医药健康”三大主导产业基础上，确立了“人工智能、医疗器械、数字试听”三个细分产业发展赛道，瞄准了“新首钢大桥产业经济带、高品质商业服务业带”发展方向，本课题旨在探索推动园区高质量发展的创新路径。</w:t>
            </w:r>
          </w:p>
        </w:tc>
      </w:tr>
      <w:tr w:rsidR="003F761C" w14:paraId="252A92DC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D3CE4B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A9DDCC0" w14:textId="77777777" w:rsidR="003F761C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推动园区高质量发展</w:t>
            </w:r>
          </w:p>
        </w:tc>
      </w:tr>
      <w:tr w:rsidR="003F761C" w14:paraId="2E6F515E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D50C4FB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EA1C0D4" w14:textId="77777777" w:rsidR="003F761C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提供具有可行性的研究报告或规划方案，使园区打造成京西产业转型升级示范区“新样板”。</w:t>
            </w:r>
          </w:p>
        </w:tc>
      </w:tr>
    </w:tbl>
    <w:p w14:paraId="7F916081" w14:textId="77777777" w:rsidR="003F761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3F761C" w14:paraId="3E58F87C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4DC974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364DF2" w14:textId="77777777" w:rsidR="003F761C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可为参赛团队提供实地考察。</w:t>
            </w:r>
          </w:p>
        </w:tc>
      </w:tr>
      <w:tr w:rsidR="003F761C" w14:paraId="427DCAB2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417008" w14:textId="77777777" w:rsidR="003F761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73D9F8" w14:textId="77777777" w:rsidR="003F761C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可为获奖者提供实习实践机会</w:t>
            </w:r>
          </w:p>
        </w:tc>
      </w:tr>
    </w:tbl>
    <w:p w14:paraId="253826A9" w14:textId="601282C4" w:rsidR="003F761C" w:rsidRDefault="003F761C" w:rsidP="002C30D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3F761C">
      <w:footerReference w:type="default" r:id="rId9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5AF2" w14:textId="77777777" w:rsidR="00D92724" w:rsidRDefault="00D92724">
      <w:r>
        <w:separator/>
      </w:r>
    </w:p>
  </w:endnote>
  <w:endnote w:type="continuationSeparator" w:id="0">
    <w:p w14:paraId="203629DC" w14:textId="77777777" w:rsidR="00D92724" w:rsidRDefault="00D9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rif">
    <w:altName w:val="仿宋"/>
    <w:charset w:val="00"/>
    <w:family w:val="auto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24CE3150" w14:textId="77777777" w:rsidR="003F761C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5468E1A" w14:textId="77777777" w:rsidR="003F761C" w:rsidRDefault="003F76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4C3E" w14:textId="77777777" w:rsidR="00D92724" w:rsidRDefault="00D92724">
      <w:r>
        <w:separator/>
      </w:r>
    </w:p>
  </w:footnote>
  <w:footnote w:type="continuationSeparator" w:id="0">
    <w:p w14:paraId="6BE8082E" w14:textId="77777777" w:rsidR="00D92724" w:rsidRDefault="00D92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ZjOWY4YTg3NzQ4YWIxOGE5OWZiOTY2NmRmMWFkYmI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918D8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10C9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C30D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3F761C"/>
    <w:rsid w:val="004171C1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50D61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700E1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6F3958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A3812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72EC4"/>
    <w:rsid w:val="00D8092B"/>
    <w:rsid w:val="00D826F5"/>
    <w:rsid w:val="00D920B0"/>
    <w:rsid w:val="00D92724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0233151"/>
    <w:rsid w:val="209B0F44"/>
    <w:rsid w:val="22463DDE"/>
    <w:rsid w:val="231A0AD5"/>
    <w:rsid w:val="23991047"/>
    <w:rsid w:val="23B107E7"/>
    <w:rsid w:val="23B940CE"/>
    <w:rsid w:val="24274F94"/>
    <w:rsid w:val="242F1397"/>
    <w:rsid w:val="2604714B"/>
    <w:rsid w:val="26680B0E"/>
    <w:rsid w:val="276607BD"/>
    <w:rsid w:val="290B1FF7"/>
    <w:rsid w:val="2A85768A"/>
    <w:rsid w:val="2AAE6F10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841FD2"/>
    <w:rsid w:val="359C73A0"/>
    <w:rsid w:val="36160F00"/>
    <w:rsid w:val="36BFE115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73044E7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5F3DCB1E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EED1A09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5D1B"/>
    <w:rsid w:val="76B27622"/>
    <w:rsid w:val="780A371A"/>
    <w:rsid w:val="784521A0"/>
    <w:rsid w:val="788D1579"/>
    <w:rsid w:val="7A6F2A3A"/>
    <w:rsid w:val="7BA5483F"/>
    <w:rsid w:val="7BBB15F0"/>
    <w:rsid w:val="7C07A0F5"/>
    <w:rsid w:val="7D460711"/>
    <w:rsid w:val="7D7074B2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7D3EE8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HTML">
    <w:name w:val="HTML Definition"/>
    <w:basedOn w:val="a0"/>
    <w:uiPriority w:val="99"/>
    <w:semiHidden/>
    <w:unhideWhenUsed/>
    <w:qFormat/>
  </w:style>
  <w:style w:type="character" w:styleId="HTML0">
    <w:name w:val="HTML Variable"/>
    <w:basedOn w:val="a0"/>
    <w:uiPriority w:val="99"/>
    <w:semiHidden/>
    <w:unhideWhenUsed/>
    <w:qFormat/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HTML1">
    <w:name w:val="HTML Code"/>
    <w:basedOn w:val="a0"/>
    <w:uiPriority w:val="99"/>
    <w:semiHidden/>
    <w:unhideWhenUsed/>
    <w:qFormat/>
    <w:rPr>
      <w:rFonts w:ascii="serif" w:eastAsia="serif" w:hAnsi="serif" w:cs="serif" w:hint="default"/>
      <w:sz w:val="21"/>
      <w:szCs w:val="21"/>
    </w:rPr>
  </w:style>
  <w:style w:type="character" w:styleId="HTML2">
    <w:name w:val="HTML Cite"/>
    <w:basedOn w:val="a0"/>
    <w:uiPriority w:val="99"/>
    <w:semiHidden/>
    <w:unhideWhenUsed/>
    <w:qFormat/>
  </w:style>
  <w:style w:type="character" w:styleId="HTML3">
    <w:name w:val="HTML Keyboard"/>
    <w:basedOn w:val="a0"/>
    <w:uiPriority w:val="99"/>
    <w:semiHidden/>
    <w:unhideWhenUsed/>
    <w:qFormat/>
    <w:rPr>
      <w:rFonts w:ascii="serif" w:eastAsia="serif" w:hAnsi="serif" w:cs="serif" w:hint="default"/>
      <w:sz w:val="21"/>
      <w:szCs w:val="21"/>
    </w:rPr>
  </w:style>
  <w:style w:type="character" w:styleId="HTML4">
    <w:name w:val="HTML Sample"/>
    <w:basedOn w:val="a0"/>
    <w:uiPriority w:val="99"/>
    <w:semiHidden/>
    <w:unhideWhenUsed/>
    <w:qFormat/>
    <w:rPr>
      <w:rFonts w:ascii="serif" w:eastAsia="serif" w:hAnsi="serif" w:cs="serif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tn">
    <w:name w:val="btn"/>
    <w:basedOn w:val="a0"/>
    <w:qFormat/>
  </w:style>
  <w:style w:type="character" w:customStyle="1" w:styleId="on">
    <w:name w:val="on"/>
    <w:basedOn w:val="a0"/>
    <w:qFormat/>
    <w:rPr>
      <w:color w:val="333333"/>
    </w:rPr>
  </w:style>
  <w:style w:type="character" w:customStyle="1" w:styleId="one-lines">
    <w:name w:val="one-lines"/>
    <w:basedOn w:val="a0"/>
    <w:qFormat/>
  </w:style>
  <w:style w:type="character" w:customStyle="1" w:styleId="hidden">
    <w:name w:val="hidden"/>
    <w:basedOn w:val="a0"/>
    <w:qFormat/>
    <w:rPr>
      <w:vanish/>
    </w:rPr>
  </w:style>
  <w:style w:type="character" w:customStyle="1" w:styleId="trumbowyg-msg-error">
    <w:name w:val="trumbowyg-msg-error"/>
    <w:basedOn w:val="a0"/>
    <w:qFormat/>
    <w:rPr>
      <w:color w:val="E74C3C"/>
    </w:rPr>
  </w:style>
  <w:style w:type="character" w:customStyle="1" w:styleId="trumbowyg-msg-error1">
    <w:name w:val="trumbowyg-msg-error1"/>
    <w:basedOn w:val="a0"/>
    <w:qFormat/>
    <w:rPr>
      <w:color w:val="E74C3C"/>
    </w:rPr>
  </w:style>
  <w:style w:type="character" w:customStyle="1" w:styleId="two-lines">
    <w:name w:val="two-lines"/>
    <w:basedOn w:val="a0"/>
    <w:qFormat/>
  </w:style>
  <w:style w:type="character" w:customStyle="1" w:styleId="nth-child1">
    <w:name w:val="nth-child(1)"/>
    <w:basedOn w:val="a0"/>
    <w:qFormat/>
  </w:style>
  <w:style w:type="character" w:customStyle="1" w:styleId="nth-child11">
    <w:name w:val="nth-child(1)1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5%8C%97%E4%BA%AC%E7%9F%B3%E9%BE%99%E7%BB%8F%E6%B5%8E%E5%BC%80%E5%8F%91%E5%8C%BA/148544?fromModule=lemma_in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8%AD%E5%85%B3%E6%9D%91%E7%A7%91%E6%8A%80%E5%9B%AD%E5%8C%BA/4149388?fromModule=lemma_inlin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142</cp:revision>
  <cp:lastPrinted>2023-01-12T03:09:00Z</cp:lastPrinted>
  <dcterms:created xsi:type="dcterms:W3CDTF">2023-01-01T13:38:00Z</dcterms:created>
  <dcterms:modified xsi:type="dcterms:W3CDTF">2023-03-03T12:21:00Z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96B2DA85D3EF44878CA2308EF2077766</vt:lpwstr>
  </property>
</Properties>
</file>