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6301F">
      <w:pPr>
        <w:pStyle w:val="3"/>
        <w:spacing w:line="360" w:lineRule="auto"/>
        <w:rPr>
          <w:rFonts w:hint="eastAsia" w:ascii="方正小标宋_GBK" w:hAnsi="方正小标宋_GBK" w:eastAsia="方正小标宋_GBK" w:cs="方正小标宋_GBK"/>
          <w:sz w:val="40"/>
          <w:szCs w:val="24"/>
        </w:rPr>
      </w:pPr>
      <w:r>
        <w:rPr>
          <w:rFonts w:hint="eastAsia" w:ascii="方正小标宋_GBK" w:hAnsi="方正小标宋_GBK" w:eastAsia="方正小标宋_GBK" w:cs="方正小标宋_GBK"/>
          <w:sz w:val="40"/>
          <w:szCs w:val="24"/>
        </w:rPr>
        <w:t>统计</w:t>
      </w:r>
      <w:r>
        <w:rPr>
          <w:rFonts w:hint="eastAsia" w:ascii="方正小标宋_GBK" w:hAnsi="方正小标宋_GBK" w:eastAsia="方正小标宋_GBK" w:cs="方正小标宋_GBK"/>
          <w:sz w:val="40"/>
          <w:szCs w:val="24"/>
          <w:lang w:val="en-US" w:eastAsia="zh-CN"/>
        </w:rPr>
        <w:t>与数据科学</w:t>
      </w:r>
      <w:r>
        <w:rPr>
          <w:rFonts w:hint="eastAsia" w:ascii="方正小标宋_GBK" w:hAnsi="方正小标宋_GBK" w:eastAsia="方正小标宋_GBK" w:cs="方正小标宋_GBK"/>
          <w:sz w:val="40"/>
          <w:szCs w:val="24"/>
        </w:rPr>
        <w:t>学院</w:t>
      </w:r>
      <w:r>
        <w:rPr>
          <w:rFonts w:hint="eastAsia" w:ascii="方正小标宋_GBK" w:hAnsi="方正小标宋_GBK" w:eastAsia="方正小标宋_GBK" w:cs="方正小标宋_GBK"/>
          <w:sz w:val="40"/>
          <w:szCs w:val="24"/>
          <w:lang w:val="en-US" w:eastAsia="zh-CN"/>
        </w:rPr>
        <w:t>2027年</w:t>
      </w:r>
      <w:r>
        <w:rPr>
          <w:rFonts w:hint="eastAsia" w:ascii="方正小标宋_GBK" w:hAnsi="方正小标宋_GBK" w:eastAsia="方正小标宋_GBK" w:cs="方正小标宋_GBK"/>
          <w:sz w:val="40"/>
          <w:szCs w:val="24"/>
        </w:rPr>
        <w:t>推荐优秀应届本科毕业生免试攻读硕士学位研究生</w:t>
      </w:r>
      <w:r>
        <w:rPr>
          <w:rFonts w:hint="eastAsia" w:ascii="方正小标宋_GBK" w:hAnsi="方正小标宋_GBK" w:eastAsia="方正小标宋_GBK" w:cs="方正小标宋_GBK"/>
          <w:sz w:val="40"/>
          <w:szCs w:val="24"/>
          <w:lang w:val="en-US" w:eastAsia="zh-CN"/>
        </w:rPr>
        <w:t>工作细则</w:t>
      </w:r>
    </w:p>
    <w:p w14:paraId="2D013691">
      <w:pPr>
        <w:spacing w:line="360" w:lineRule="auto"/>
        <w:ind w:firstLine="560" w:firstLineChars="200"/>
        <w:rPr>
          <w:rFonts w:hint="eastAsia" w:ascii="华文仿宋" w:hAnsi="华文仿宋" w:eastAsia="华文仿宋" w:cs="华文仿宋"/>
          <w:sz w:val="28"/>
          <w:szCs w:val="28"/>
        </w:rPr>
      </w:pPr>
      <w:r>
        <w:rPr>
          <w:rFonts w:hint="eastAsia" w:ascii="华文仿宋" w:hAnsi="华文仿宋" w:eastAsia="华文仿宋" w:cs="华文仿宋"/>
          <w:sz w:val="28"/>
          <w:szCs w:val="28"/>
        </w:rPr>
        <w:t>为做好我院推荐优秀本科毕业生免试攻读硕士学位研究生遴选工作，根据</w:t>
      </w:r>
      <w:r>
        <w:rPr>
          <w:rFonts w:hint="eastAsia" w:ascii="华文仿宋" w:hAnsi="华文仿宋" w:eastAsia="华文仿宋" w:cs="华文仿宋"/>
          <w:sz w:val="28"/>
          <w:szCs w:val="28"/>
          <w:lang w:val="en-US" w:eastAsia="zh-CN"/>
        </w:rPr>
        <w:t>上级文件</w:t>
      </w:r>
      <w:r>
        <w:rPr>
          <w:rFonts w:hint="eastAsia" w:ascii="华文仿宋" w:hAnsi="华文仿宋" w:eastAsia="华文仿宋" w:cs="华文仿宋"/>
          <w:sz w:val="28"/>
          <w:szCs w:val="28"/>
        </w:rPr>
        <w:t>精神以及《首都经济贸易大学推荐优秀应届本科毕业生免试攻读硕士学位研究生实施办法（2023年修订）》（首经贸政发[2023]20号）</w:t>
      </w: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lang w:val="en-US" w:eastAsia="zh-CN"/>
        </w:rPr>
        <w:t>以下简称实施办法）、《首都经济贸易大学2027年推荐优秀应届本科毕业生免试攻读硕士学位研究生工作办法（首经贸教函〔2026〕5号）》</w:t>
      </w:r>
      <w:r>
        <w:rPr>
          <w:rFonts w:hint="eastAsia" w:ascii="华文仿宋" w:hAnsi="华文仿宋" w:eastAsia="华文仿宋" w:cs="华文仿宋"/>
          <w:sz w:val="28"/>
          <w:szCs w:val="28"/>
        </w:rPr>
        <w:t>确定的原则，结合我院实际情况，</w:t>
      </w:r>
      <w:r>
        <w:rPr>
          <w:rFonts w:hint="eastAsia" w:ascii="华文仿宋" w:hAnsi="华文仿宋" w:eastAsia="华文仿宋" w:cs="华文仿宋"/>
          <w:sz w:val="28"/>
          <w:szCs w:val="28"/>
          <w:lang w:eastAsia="zh-CN"/>
        </w:rPr>
        <w:t>特制订</w:t>
      </w:r>
      <w:r>
        <w:rPr>
          <w:rFonts w:hint="eastAsia" w:ascii="华文仿宋" w:hAnsi="华文仿宋" w:eastAsia="华文仿宋" w:cs="华文仿宋"/>
          <w:sz w:val="28"/>
          <w:szCs w:val="28"/>
        </w:rPr>
        <w:t>本</w:t>
      </w:r>
      <w:r>
        <w:rPr>
          <w:rFonts w:hint="eastAsia" w:ascii="华文仿宋" w:hAnsi="华文仿宋" w:eastAsia="华文仿宋" w:cs="华文仿宋"/>
          <w:sz w:val="28"/>
          <w:szCs w:val="28"/>
          <w:lang w:val="en-US" w:eastAsia="zh-CN"/>
        </w:rPr>
        <w:t>细则</w:t>
      </w:r>
      <w:r>
        <w:rPr>
          <w:rFonts w:hint="eastAsia" w:ascii="华文仿宋" w:hAnsi="华文仿宋" w:eastAsia="华文仿宋" w:cs="华文仿宋"/>
          <w:sz w:val="28"/>
          <w:szCs w:val="28"/>
        </w:rPr>
        <w:t>：</w:t>
      </w:r>
    </w:p>
    <w:p w14:paraId="44FFE41E">
      <w:pPr>
        <w:numPr>
          <w:ilvl w:val="0"/>
          <w:numId w:val="1"/>
        </w:numPr>
        <w:spacing w:line="360" w:lineRule="auto"/>
        <w:ind w:left="0" w:leftChars="0" w:firstLine="420" w:firstLineChars="0"/>
        <w:rPr>
          <w:rFonts w:hint="eastAsia" w:ascii="黑体" w:hAnsi="黑体" w:eastAsia="黑体" w:cs="黑体"/>
          <w:b w:val="0"/>
          <w:bCs w:val="0"/>
          <w:sz w:val="28"/>
          <w:szCs w:val="28"/>
          <w:u w:val="double"/>
        </w:rPr>
      </w:pPr>
      <w:r>
        <w:rPr>
          <w:rFonts w:hint="eastAsia" w:ascii="黑体" w:hAnsi="黑体" w:eastAsia="黑体" w:cs="黑体"/>
          <w:b w:val="0"/>
          <w:bCs w:val="0"/>
          <w:sz w:val="28"/>
          <w:szCs w:val="28"/>
          <w:u w:val="double"/>
          <w:lang w:val="en-US" w:eastAsia="zh-CN"/>
        </w:rPr>
        <w:t>工作机构</w:t>
      </w:r>
    </w:p>
    <w:p w14:paraId="4C6E6FBC">
      <w:pPr>
        <w:numPr>
          <w:ilvl w:val="0"/>
          <w:numId w:val="2"/>
        </w:numPr>
        <w:spacing w:line="360" w:lineRule="auto"/>
        <w:ind w:left="425" w:leftChars="0" w:hanging="425" w:firstLineChars="0"/>
        <w:rPr>
          <w:rFonts w:hint="eastAsia" w:ascii="华文仿宋" w:hAnsi="华文仿宋" w:eastAsia="华文仿宋" w:cs="华文仿宋"/>
          <w:sz w:val="28"/>
          <w:szCs w:val="28"/>
        </w:rPr>
      </w:pPr>
      <w:r>
        <w:rPr>
          <w:rFonts w:hint="eastAsia" w:ascii="华文仿宋" w:hAnsi="华文仿宋" w:eastAsia="华文仿宋" w:cs="华文仿宋"/>
          <w:sz w:val="28"/>
          <w:szCs w:val="28"/>
        </w:rPr>
        <w:t>学院成立推免生遴选工作小组，负责组织实施推荐工作。学院党委书记、院长任组长，主管本科教学的副院长任副组长，成员由学院领导班子成员和各系主任组成，秘书由学院教学秘书担任。</w:t>
      </w:r>
    </w:p>
    <w:p w14:paraId="5EE74213">
      <w:pPr>
        <w:spacing w:line="360" w:lineRule="auto"/>
        <w:ind w:firstLine="560" w:firstLineChars="200"/>
        <w:rPr>
          <w:rFonts w:hint="eastAsia" w:ascii="华文仿宋" w:hAnsi="华文仿宋" w:eastAsia="华文仿宋" w:cs="华文仿宋"/>
          <w:sz w:val="28"/>
          <w:szCs w:val="28"/>
          <w:lang w:val="en-US" w:eastAsia="zh-CN"/>
        </w:rPr>
      </w:pPr>
      <w:r>
        <w:rPr>
          <w:rFonts w:hint="eastAsia" w:ascii="华文仿宋" w:hAnsi="华文仿宋" w:eastAsia="华文仿宋" w:cs="华文仿宋"/>
          <w:sz w:val="28"/>
          <w:szCs w:val="28"/>
        </w:rPr>
        <w:t>组  长：</w:t>
      </w:r>
      <w:r>
        <w:rPr>
          <w:rFonts w:hint="eastAsia" w:ascii="华文仿宋" w:hAnsi="华文仿宋" w:eastAsia="华文仿宋" w:cs="华文仿宋"/>
          <w:sz w:val="28"/>
          <w:szCs w:val="28"/>
          <w:lang w:val="en-US" w:eastAsia="zh-CN"/>
        </w:rPr>
        <w:t>任韬、</w:t>
      </w:r>
      <w:r>
        <w:rPr>
          <w:rFonts w:hint="eastAsia" w:ascii="华文仿宋" w:hAnsi="华文仿宋" w:eastAsia="华文仿宋" w:cs="华文仿宋"/>
          <w:sz w:val="28"/>
          <w:szCs w:val="28"/>
        </w:rPr>
        <w:t>解小娟</w:t>
      </w:r>
    </w:p>
    <w:p w14:paraId="241D5ECB">
      <w:pPr>
        <w:spacing w:line="360" w:lineRule="auto"/>
        <w:ind w:firstLine="560" w:firstLineChars="200"/>
        <w:rPr>
          <w:rFonts w:hint="default" w:ascii="华文仿宋" w:hAnsi="华文仿宋" w:eastAsia="华文仿宋" w:cs="华文仿宋"/>
          <w:sz w:val="28"/>
          <w:szCs w:val="28"/>
          <w:lang w:val="en-US" w:eastAsia="zh-CN"/>
        </w:rPr>
      </w:pPr>
      <w:r>
        <w:rPr>
          <w:rFonts w:hint="eastAsia" w:ascii="华文仿宋" w:hAnsi="华文仿宋" w:eastAsia="华文仿宋" w:cs="华文仿宋"/>
          <w:sz w:val="28"/>
          <w:szCs w:val="28"/>
          <w:lang w:val="en-US" w:eastAsia="zh-CN"/>
        </w:rPr>
        <w:t>副组长：</w:t>
      </w:r>
      <w:r>
        <w:rPr>
          <w:rFonts w:hint="eastAsia" w:ascii="华文仿宋" w:hAnsi="华文仿宋" w:eastAsia="华文仿宋" w:cs="华文仿宋"/>
          <w:sz w:val="28"/>
          <w:szCs w:val="28"/>
        </w:rPr>
        <w:t>裴艳波</w:t>
      </w:r>
    </w:p>
    <w:p w14:paraId="762A6E9B">
      <w:pPr>
        <w:spacing w:line="360" w:lineRule="auto"/>
        <w:ind w:firstLine="560" w:firstLineChars="200"/>
        <w:rPr>
          <w:rFonts w:hint="default" w:ascii="华文仿宋" w:hAnsi="华文仿宋" w:eastAsia="华文仿宋" w:cs="华文仿宋"/>
          <w:sz w:val="28"/>
          <w:szCs w:val="28"/>
          <w:lang w:val="en-US" w:eastAsia="zh-CN"/>
        </w:rPr>
      </w:pPr>
      <w:r>
        <w:rPr>
          <w:rFonts w:hint="eastAsia" w:ascii="华文仿宋" w:hAnsi="华文仿宋" w:eastAsia="华文仿宋" w:cs="华文仿宋"/>
          <w:sz w:val="28"/>
          <w:szCs w:val="28"/>
        </w:rPr>
        <w:t>成  员：陈海沐</w:t>
      </w: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lang w:val="en-US" w:eastAsia="zh-CN"/>
        </w:rPr>
        <w:t>沙叶舟</w:t>
      </w:r>
      <w:r>
        <w:rPr>
          <w:rFonts w:hint="eastAsia" w:ascii="华文仿宋" w:hAnsi="华文仿宋" w:eastAsia="华文仿宋" w:cs="华文仿宋"/>
          <w:sz w:val="28"/>
          <w:szCs w:val="28"/>
        </w:rPr>
        <w:t>、陶桂平、安百国、马丽丽、王陆雅、</w:t>
      </w:r>
      <w:r>
        <w:rPr>
          <w:rFonts w:hint="eastAsia" w:ascii="华文仿宋" w:hAnsi="华文仿宋" w:eastAsia="华文仿宋" w:cs="华文仿宋"/>
          <w:sz w:val="28"/>
          <w:szCs w:val="28"/>
          <w:lang w:val="en-US" w:eastAsia="zh-CN"/>
        </w:rPr>
        <w:t>郭剑川、孙溢婧、李可欣</w:t>
      </w:r>
    </w:p>
    <w:p w14:paraId="75AE19F8">
      <w:pPr>
        <w:numPr>
          <w:ilvl w:val="0"/>
          <w:numId w:val="2"/>
        </w:numPr>
        <w:spacing w:line="360" w:lineRule="auto"/>
        <w:ind w:left="425" w:leftChars="0" w:hanging="425" w:firstLineChars="0"/>
        <w:rPr>
          <w:rFonts w:hint="eastAsia" w:ascii="华文仿宋" w:hAnsi="华文仿宋" w:eastAsia="华文仿宋" w:cs="华文仿宋"/>
          <w:sz w:val="28"/>
          <w:szCs w:val="28"/>
        </w:rPr>
      </w:pPr>
      <w:r>
        <w:rPr>
          <w:rFonts w:hint="eastAsia" w:ascii="华文仿宋" w:hAnsi="华文仿宋" w:eastAsia="华文仿宋" w:cs="华文仿宋"/>
          <w:sz w:val="28"/>
          <w:szCs w:val="28"/>
        </w:rPr>
        <w:t>学院成立创新和科研能力答辩小组，负责实施推免生成果的审核鉴定工作。主管本科教学的副院长任组长，成员由系主任、教授代表、硕士生导师代表组成，秘书由学院教学秘书担任。</w:t>
      </w:r>
    </w:p>
    <w:p w14:paraId="48136A02">
      <w:pPr>
        <w:spacing w:line="360" w:lineRule="auto"/>
        <w:ind w:firstLine="560" w:firstLineChars="200"/>
        <w:rPr>
          <w:rFonts w:hint="eastAsia" w:ascii="华文仿宋" w:hAnsi="华文仿宋" w:eastAsia="华文仿宋" w:cs="华文仿宋"/>
          <w:sz w:val="28"/>
          <w:szCs w:val="28"/>
        </w:rPr>
      </w:pPr>
      <w:r>
        <w:rPr>
          <w:rFonts w:hint="eastAsia" w:ascii="华文仿宋" w:hAnsi="华文仿宋" w:eastAsia="华文仿宋" w:cs="华文仿宋"/>
          <w:sz w:val="28"/>
          <w:szCs w:val="28"/>
        </w:rPr>
        <w:t xml:space="preserve">   组  长：裴艳波</w:t>
      </w:r>
    </w:p>
    <w:p w14:paraId="1EA02FF4">
      <w:pPr>
        <w:spacing w:line="360" w:lineRule="auto"/>
        <w:ind w:firstLine="560" w:firstLineChars="200"/>
        <w:rPr>
          <w:rFonts w:hint="default" w:ascii="华文仿宋" w:hAnsi="华文仿宋" w:eastAsia="华文仿宋" w:cs="华文仿宋"/>
          <w:sz w:val="28"/>
          <w:szCs w:val="28"/>
          <w:lang w:val="en-US" w:eastAsia="zh-CN"/>
        </w:rPr>
      </w:pPr>
      <w:r>
        <w:rPr>
          <w:rFonts w:hint="eastAsia" w:ascii="华文仿宋" w:hAnsi="华文仿宋" w:eastAsia="华文仿宋" w:cs="华文仿宋"/>
          <w:sz w:val="28"/>
          <w:szCs w:val="28"/>
        </w:rPr>
        <w:t xml:space="preserve">   成  员：</w:t>
      </w:r>
      <w:r>
        <w:rPr>
          <w:rFonts w:hint="eastAsia" w:ascii="华文仿宋" w:hAnsi="华文仿宋" w:eastAsia="华文仿宋" w:cs="华文仿宋"/>
          <w:sz w:val="28"/>
          <w:szCs w:val="28"/>
          <w:lang w:val="en-US" w:eastAsia="zh-CN"/>
        </w:rPr>
        <w:t>沙叶舟、</w:t>
      </w:r>
      <w:r>
        <w:rPr>
          <w:rFonts w:hint="eastAsia" w:ascii="华文仿宋" w:hAnsi="华文仿宋" w:eastAsia="华文仿宋" w:cs="华文仿宋"/>
          <w:sz w:val="28"/>
          <w:szCs w:val="28"/>
        </w:rPr>
        <w:t>陶桂平、安百国、马丽丽、王陆雅、</w:t>
      </w:r>
      <w:r>
        <w:rPr>
          <w:rFonts w:hint="eastAsia" w:ascii="华文仿宋" w:hAnsi="华文仿宋" w:eastAsia="华文仿宋" w:cs="华文仿宋"/>
          <w:sz w:val="28"/>
          <w:szCs w:val="28"/>
          <w:lang w:val="en-US" w:eastAsia="zh-CN"/>
        </w:rPr>
        <w:t>赵琬迪、</w:t>
      </w:r>
      <w:r>
        <w:rPr>
          <w:rFonts w:hint="eastAsia" w:ascii="华文仿宋" w:hAnsi="华文仿宋" w:eastAsia="华文仿宋" w:cs="华文仿宋"/>
          <w:sz w:val="28"/>
          <w:szCs w:val="28"/>
        </w:rPr>
        <w:t>孙溢婧</w:t>
      </w: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lang w:val="en-US" w:eastAsia="zh-CN"/>
        </w:rPr>
        <w:t>李可欣</w:t>
      </w:r>
    </w:p>
    <w:p w14:paraId="0943F2FD">
      <w:pPr>
        <w:numPr>
          <w:ilvl w:val="0"/>
          <w:numId w:val="1"/>
        </w:numPr>
        <w:spacing w:line="360" w:lineRule="auto"/>
        <w:ind w:left="0" w:leftChars="0" w:firstLine="420" w:firstLineChars="0"/>
        <w:rPr>
          <w:rFonts w:hint="eastAsia" w:ascii="黑体" w:hAnsi="黑体" w:eastAsia="黑体" w:cs="黑体"/>
          <w:b w:val="0"/>
          <w:bCs w:val="0"/>
          <w:sz w:val="28"/>
          <w:szCs w:val="28"/>
          <w:u w:val="double"/>
          <w:lang w:val="en-US" w:eastAsia="zh-CN"/>
        </w:rPr>
      </w:pPr>
      <w:r>
        <w:rPr>
          <w:rFonts w:hint="eastAsia" w:ascii="黑体" w:hAnsi="黑体" w:eastAsia="黑体" w:cs="黑体"/>
          <w:b w:val="0"/>
          <w:bCs w:val="0"/>
          <w:sz w:val="28"/>
          <w:szCs w:val="28"/>
          <w:u w:val="double"/>
          <w:lang w:val="en-US" w:eastAsia="zh-CN"/>
        </w:rPr>
        <w:t>名额分配方案</w:t>
      </w:r>
    </w:p>
    <w:p w14:paraId="02B8B80A">
      <w:pPr>
        <w:numPr>
          <w:ilvl w:val="0"/>
          <w:numId w:val="3"/>
        </w:numPr>
        <w:spacing w:line="360" w:lineRule="auto"/>
        <w:ind w:left="425" w:leftChars="0" w:hanging="425" w:firstLineChars="0"/>
        <w:rPr>
          <w:rFonts w:hint="eastAsia" w:ascii="华文仿宋" w:hAnsi="华文仿宋" w:eastAsia="华文仿宋" w:cs="华文仿宋"/>
          <w:sz w:val="28"/>
          <w:szCs w:val="28"/>
          <w:lang w:val="en-US" w:eastAsia="zh-CN"/>
        </w:rPr>
      </w:pPr>
      <w:r>
        <w:rPr>
          <w:rFonts w:hint="eastAsia" w:ascii="华文仿宋" w:hAnsi="华文仿宋" w:eastAsia="华文仿宋" w:cs="华文仿宋"/>
          <w:sz w:val="28"/>
          <w:szCs w:val="28"/>
          <w:lang w:val="en-US" w:eastAsia="zh-CN"/>
        </w:rPr>
        <w:t>原统计学院：统筹名额的80%按照各专业人数比例进行分配，剩余名额按照学生成绩学院大排名进行分配。其中，80%名额分配计算公式如下：</w:t>
      </w:r>
    </w:p>
    <w:p w14:paraId="7E1A3AB4">
      <w:pPr>
        <w:numPr>
          <w:ilvl w:val="0"/>
          <w:numId w:val="0"/>
        </w:numPr>
        <w:spacing w:line="360" w:lineRule="auto"/>
        <w:ind w:leftChars="0" w:firstLine="840" w:firstLineChars="300"/>
        <w:jc w:val="center"/>
        <w:rPr>
          <w:rFonts w:hint="eastAsia" w:ascii="华文仿宋" w:hAnsi="华文仿宋" w:eastAsia="华文仿宋" w:cs="华文仿宋"/>
          <w:sz w:val="28"/>
          <w:szCs w:val="28"/>
          <w:lang w:val="en-US" w:eastAsia="zh-CN"/>
        </w:rPr>
      </w:pPr>
      <w:r>
        <w:rPr>
          <w:rFonts w:hint="eastAsia" w:ascii="华文仿宋" w:hAnsi="华文仿宋" w:eastAsia="华文仿宋" w:cs="华文仿宋"/>
          <w:position w:val="-28"/>
          <w:sz w:val="28"/>
          <w:szCs w:val="28"/>
          <w:lang w:val="en-US" w:eastAsia="zh-CN"/>
        </w:rPr>
        <w:object>
          <v:shape id="_x0000_i1025" o:spt="75" type="#_x0000_t75" style="height:34pt;width:96pt;" o:ole="t" filled="f" o:preferrelative="t" stroked="f" coordsize="21600,21600">
            <v:path/>
            <v:fill on="f" focussize="0,0"/>
            <v:stroke on="f"/>
            <v:imagedata r:id="rId5" o:title=""/>
            <o:lock v:ext="edit" aspectratio="t"/>
            <w10:wrap type="none"/>
            <w10:anchorlock/>
          </v:shape>
          <o:OLEObject Type="Embed" ProgID="Equation.KSEE3" ShapeID="_x0000_i1025" DrawAspect="Content" ObjectID="_1468075725" r:id="rId4">
            <o:LockedField>false</o:LockedField>
          </o:OLEObject>
        </w:object>
      </w:r>
    </w:p>
    <w:p w14:paraId="4451F986">
      <w:pPr>
        <w:numPr>
          <w:ilvl w:val="0"/>
          <w:numId w:val="0"/>
        </w:numPr>
        <w:spacing w:line="360" w:lineRule="auto"/>
        <w:ind w:left="559" w:leftChars="266" w:firstLine="0" w:firstLineChars="0"/>
        <w:jc w:val="left"/>
        <w:rPr>
          <w:rFonts w:hint="eastAsia" w:ascii="华文仿宋" w:hAnsi="华文仿宋" w:eastAsia="华文仿宋" w:cs="华文仿宋"/>
          <w:sz w:val="28"/>
          <w:szCs w:val="28"/>
          <w:lang w:val="en-US" w:eastAsia="zh-CN"/>
        </w:rPr>
      </w:pPr>
      <w:r>
        <w:rPr>
          <w:rFonts w:hint="eastAsia" w:ascii="华文仿宋" w:hAnsi="华文仿宋" w:eastAsia="华文仿宋" w:cs="华文仿宋"/>
          <w:sz w:val="28"/>
          <w:szCs w:val="28"/>
          <w:lang w:val="en-US" w:eastAsia="zh-CN"/>
        </w:rPr>
        <w:drawing>
          <wp:inline distT="0" distB="0" distL="114300" distR="114300">
            <wp:extent cx="161925" cy="133350"/>
            <wp:effectExtent l="0" t="0" r="0" b="3175"/>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6"/>
                    <a:stretch>
                      <a:fillRect/>
                    </a:stretch>
                  </pic:blipFill>
                  <pic:spPr>
                    <a:xfrm>
                      <a:off x="0" y="0"/>
                      <a:ext cx="161925" cy="133350"/>
                    </a:xfrm>
                    <a:prstGeom prst="rect">
                      <a:avLst/>
                    </a:prstGeom>
                    <a:noFill/>
                    <a:ln>
                      <a:noFill/>
                    </a:ln>
                  </pic:spPr>
                </pic:pic>
              </a:graphicData>
            </a:graphic>
          </wp:inline>
        </w:drawing>
      </w:r>
      <w:r>
        <w:rPr>
          <w:rFonts w:hint="eastAsia" w:ascii="华文仿宋" w:hAnsi="华文仿宋" w:eastAsia="华文仿宋" w:cs="华文仿宋"/>
          <w:sz w:val="28"/>
          <w:szCs w:val="28"/>
          <w:lang w:val="en-US" w:eastAsia="zh-CN"/>
        </w:rPr>
        <w:t>：学院名额；</w:t>
      </w:r>
      <w:r>
        <w:rPr>
          <w:rFonts w:hint="eastAsia" w:ascii="华文仿宋" w:hAnsi="华文仿宋" w:eastAsia="华文仿宋" w:cs="华文仿宋"/>
          <w:sz w:val="28"/>
          <w:szCs w:val="28"/>
          <w:lang w:val="en-US" w:eastAsia="zh-CN"/>
        </w:rPr>
        <w:drawing>
          <wp:inline distT="0" distB="0" distL="114300" distR="114300">
            <wp:extent cx="142875" cy="228600"/>
            <wp:effectExtent l="0" t="0" r="9525" b="0"/>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pic:cNvPicPr>
                  </pic:nvPicPr>
                  <pic:blipFill>
                    <a:blip r:embed="rId7"/>
                    <a:stretch>
                      <a:fillRect/>
                    </a:stretch>
                  </pic:blipFill>
                  <pic:spPr>
                    <a:xfrm>
                      <a:off x="0" y="0"/>
                      <a:ext cx="142875" cy="228600"/>
                    </a:xfrm>
                    <a:prstGeom prst="rect">
                      <a:avLst/>
                    </a:prstGeom>
                    <a:noFill/>
                    <a:ln>
                      <a:noFill/>
                    </a:ln>
                  </pic:spPr>
                </pic:pic>
              </a:graphicData>
            </a:graphic>
          </wp:inline>
        </w:drawing>
      </w:r>
      <w:r>
        <w:rPr>
          <w:rFonts w:hint="eastAsia" w:ascii="华文仿宋" w:hAnsi="华文仿宋" w:eastAsia="华文仿宋" w:cs="华文仿宋"/>
          <w:sz w:val="28"/>
          <w:szCs w:val="28"/>
          <w:lang w:val="en-US" w:eastAsia="zh-CN"/>
        </w:rPr>
        <w:t>：学院第</w:t>
      </w:r>
      <w:r>
        <w:rPr>
          <w:rFonts w:hint="eastAsia" w:ascii="华文仿宋" w:hAnsi="华文仿宋" w:eastAsia="华文仿宋" w:cs="华文仿宋"/>
          <w:sz w:val="28"/>
          <w:szCs w:val="28"/>
          <w:lang w:val="en-US" w:eastAsia="zh-CN"/>
        </w:rPr>
        <w:drawing>
          <wp:inline distT="0" distB="0" distL="114300" distR="114300">
            <wp:extent cx="136525" cy="253365"/>
            <wp:effectExtent l="0" t="0" r="0" b="0"/>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r:embed="rId8"/>
                    <a:stretch>
                      <a:fillRect/>
                    </a:stretch>
                  </pic:blipFill>
                  <pic:spPr>
                    <a:xfrm>
                      <a:off x="0" y="0"/>
                      <a:ext cx="136525" cy="253365"/>
                    </a:xfrm>
                    <a:prstGeom prst="rect">
                      <a:avLst/>
                    </a:prstGeom>
                    <a:noFill/>
                    <a:ln>
                      <a:noFill/>
                    </a:ln>
                  </pic:spPr>
                </pic:pic>
              </a:graphicData>
            </a:graphic>
          </wp:inline>
        </w:drawing>
      </w:r>
      <w:r>
        <w:rPr>
          <w:rFonts w:hint="eastAsia" w:ascii="华文仿宋" w:hAnsi="华文仿宋" w:eastAsia="华文仿宋" w:cs="华文仿宋"/>
          <w:sz w:val="28"/>
          <w:szCs w:val="28"/>
          <w:lang w:val="en-US" w:eastAsia="zh-CN"/>
        </w:rPr>
        <w:t>个专业的人数，</w:t>
      </w:r>
      <w:r>
        <w:rPr>
          <w:rFonts w:hint="eastAsia" w:ascii="华文仿宋" w:hAnsi="华文仿宋" w:eastAsia="华文仿宋" w:cs="华文仿宋"/>
          <w:sz w:val="28"/>
          <w:szCs w:val="28"/>
          <w:lang w:val="en-US" w:eastAsia="zh-CN"/>
        </w:rPr>
        <w:drawing>
          <wp:inline distT="0" distB="0" distL="114300" distR="114300">
            <wp:extent cx="136525" cy="253365"/>
            <wp:effectExtent l="0" t="0" r="0" b="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8"/>
                    <a:stretch>
                      <a:fillRect/>
                    </a:stretch>
                  </pic:blipFill>
                  <pic:spPr>
                    <a:xfrm>
                      <a:off x="0" y="0"/>
                      <a:ext cx="136525" cy="253365"/>
                    </a:xfrm>
                    <a:prstGeom prst="rect">
                      <a:avLst/>
                    </a:prstGeom>
                    <a:noFill/>
                    <a:ln>
                      <a:noFill/>
                    </a:ln>
                  </pic:spPr>
                </pic:pic>
              </a:graphicData>
            </a:graphic>
          </wp:inline>
        </w:drawing>
      </w:r>
      <w:r>
        <w:rPr>
          <w:rFonts w:hint="eastAsia" w:ascii="华文仿宋" w:hAnsi="华文仿宋" w:eastAsia="华文仿宋" w:cs="华文仿宋"/>
          <w:sz w:val="28"/>
          <w:szCs w:val="28"/>
          <w:lang w:val="en-US" w:eastAsia="zh-CN"/>
        </w:rPr>
        <w:t>=1,2,3,4；</w:t>
      </w:r>
      <w:r>
        <w:rPr>
          <w:rFonts w:hint="eastAsia" w:ascii="华文仿宋" w:hAnsi="华文仿宋" w:eastAsia="华文仿宋" w:cs="华文仿宋"/>
          <w:sz w:val="28"/>
          <w:szCs w:val="28"/>
          <w:lang w:val="en-US" w:eastAsia="zh-CN"/>
        </w:rPr>
        <w:drawing>
          <wp:inline distT="0" distB="0" distL="114300" distR="114300">
            <wp:extent cx="123825" cy="133350"/>
            <wp:effectExtent l="0" t="0" r="13335" b="3175"/>
            <wp:docPr id="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pic:cNvPicPr>
                      <a:picLocks noChangeAspect="1"/>
                    </pic:cNvPicPr>
                  </pic:nvPicPr>
                  <pic:blipFill>
                    <a:blip r:embed="rId9"/>
                    <a:stretch>
                      <a:fillRect/>
                    </a:stretch>
                  </pic:blipFill>
                  <pic:spPr>
                    <a:xfrm>
                      <a:off x="0" y="0"/>
                      <a:ext cx="123825" cy="133350"/>
                    </a:xfrm>
                    <a:prstGeom prst="rect">
                      <a:avLst/>
                    </a:prstGeom>
                    <a:noFill/>
                    <a:ln>
                      <a:noFill/>
                    </a:ln>
                  </pic:spPr>
                </pic:pic>
              </a:graphicData>
            </a:graphic>
          </wp:inline>
        </w:drawing>
      </w:r>
      <w:r>
        <w:rPr>
          <w:rFonts w:hint="eastAsia" w:ascii="华文仿宋" w:hAnsi="华文仿宋" w:eastAsia="华文仿宋" w:cs="华文仿宋"/>
          <w:sz w:val="28"/>
          <w:szCs w:val="28"/>
          <w:lang w:val="en-US" w:eastAsia="zh-CN"/>
        </w:rPr>
        <w:t>：学院该年级总人数；</w:t>
      </w:r>
      <w:r>
        <w:rPr>
          <w:rFonts w:hint="eastAsia" w:ascii="华文仿宋" w:hAnsi="华文仿宋" w:eastAsia="华文仿宋" w:cs="华文仿宋"/>
          <w:sz w:val="28"/>
          <w:szCs w:val="28"/>
          <w:lang w:val="en-US" w:eastAsia="zh-CN"/>
        </w:rPr>
        <w:drawing>
          <wp:inline distT="0" distB="0" distL="114300" distR="114300">
            <wp:extent cx="171450" cy="171450"/>
            <wp:effectExtent l="0" t="0" r="11430" b="12065"/>
            <wp:docPr id="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pic:cNvPicPr>
                      <a:picLocks noChangeAspect="1"/>
                    </pic:cNvPicPr>
                  </pic:nvPicPr>
                  <pic:blipFill>
                    <a:blip r:embed="rId10"/>
                    <a:stretch>
                      <a:fillRect/>
                    </a:stretch>
                  </pic:blipFill>
                  <pic:spPr>
                    <a:xfrm>
                      <a:off x="0" y="0"/>
                      <a:ext cx="171450" cy="171450"/>
                    </a:xfrm>
                    <a:prstGeom prst="rect">
                      <a:avLst/>
                    </a:prstGeom>
                    <a:noFill/>
                    <a:ln>
                      <a:noFill/>
                    </a:ln>
                  </pic:spPr>
                </pic:pic>
              </a:graphicData>
            </a:graphic>
          </wp:inline>
        </w:drawing>
      </w:r>
      <w:r>
        <w:rPr>
          <w:rFonts w:hint="eastAsia" w:ascii="华文仿宋" w:hAnsi="华文仿宋" w:eastAsia="华文仿宋" w:cs="华文仿宋"/>
          <w:sz w:val="28"/>
          <w:szCs w:val="28"/>
          <w:lang w:val="en-US" w:eastAsia="zh-CN"/>
        </w:rPr>
        <w:t>：各专业分配的名额人数。</w:t>
      </w:r>
    </w:p>
    <w:p w14:paraId="6D2FD520">
      <w:pPr>
        <w:numPr>
          <w:ilvl w:val="0"/>
          <w:numId w:val="0"/>
        </w:numPr>
        <w:spacing w:line="360" w:lineRule="auto"/>
        <w:ind w:firstLine="560" w:firstLineChars="200"/>
        <w:rPr>
          <w:rFonts w:hint="eastAsia" w:ascii="华文仿宋" w:hAnsi="华文仿宋" w:eastAsia="华文仿宋" w:cs="华文仿宋"/>
          <w:sz w:val="28"/>
          <w:szCs w:val="28"/>
          <w:lang w:val="en-US" w:eastAsia="zh-CN"/>
        </w:rPr>
      </w:pPr>
      <w:r>
        <w:rPr>
          <w:rFonts w:hint="eastAsia" w:ascii="华文仿宋" w:hAnsi="华文仿宋" w:eastAsia="华文仿宋" w:cs="华文仿宋"/>
          <w:sz w:val="28"/>
          <w:szCs w:val="28"/>
          <w:lang w:val="en-US" w:eastAsia="zh-CN"/>
        </w:rPr>
        <w:t>注：各专业名额均按向下取整数计算（不按照四舍五入计算）</w:t>
      </w:r>
    </w:p>
    <w:p w14:paraId="5D8947C6">
      <w:pPr>
        <w:numPr>
          <w:ilvl w:val="0"/>
          <w:numId w:val="3"/>
        </w:numPr>
        <w:spacing w:line="360" w:lineRule="auto"/>
        <w:ind w:left="425" w:leftChars="0" w:hanging="425" w:firstLineChars="0"/>
        <w:rPr>
          <w:rFonts w:hint="default" w:ascii="华文仿宋" w:hAnsi="华文仿宋" w:eastAsia="华文仿宋" w:cs="华文仿宋"/>
          <w:sz w:val="28"/>
          <w:szCs w:val="28"/>
          <w:lang w:val="en-US" w:eastAsia="zh-CN"/>
        </w:rPr>
      </w:pPr>
      <w:r>
        <w:rPr>
          <w:rFonts w:hint="eastAsia" w:ascii="华文仿宋" w:hAnsi="华文仿宋" w:eastAsia="华文仿宋" w:cs="华文仿宋"/>
          <w:sz w:val="28"/>
          <w:szCs w:val="28"/>
          <w:lang w:val="en-US" w:eastAsia="zh-CN"/>
        </w:rPr>
        <w:t>原数据科学学院：统计学（数据科学）专业与统计学（中外合作办学）专业，按专业人数比例分配名额，其中统计学（中外合作办学）按向上取整数计算。</w:t>
      </w:r>
    </w:p>
    <w:p w14:paraId="40D74EF0">
      <w:pPr>
        <w:numPr>
          <w:ilvl w:val="0"/>
          <w:numId w:val="1"/>
        </w:numPr>
        <w:spacing w:line="360" w:lineRule="auto"/>
        <w:ind w:left="0" w:leftChars="0" w:firstLine="420" w:firstLineChars="0"/>
        <w:rPr>
          <w:rFonts w:hint="eastAsia" w:ascii="黑体" w:hAnsi="黑体" w:eastAsia="黑体" w:cs="黑体"/>
          <w:b w:val="0"/>
          <w:bCs w:val="0"/>
          <w:sz w:val="28"/>
          <w:szCs w:val="28"/>
          <w:u w:val="double"/>
          <w:lang w:val="en-US" w:eastAsia="zh-CN"/>
        </w:rPr>
      </w:pPr>
      <w:r>
        <w:rPr>
          <w:rFonts w:hint="eastAsia" w:ascii="黑体" w:hAnsi="黑体" w:eastAsia="黑体" w:cs="黑体"/>
          <w:b w:val="0"/>
          <w:bCs w:val="0"/>
          <w:sz w:val="28"/>
          <w:szCs w:val="28"/>
          <w:u w:val="double"/>
          <w:lang w:val="en-US" w:eastAsia="zh-CN"/>
        </w:rPr>
        <w:t>推荐办法</w:t>
      </w:r>
    </w:p>
    <w:p w14:paraId="215E6AD7">
      <w:pPr>
        <w:numPr>
          <w:ilvl w:val="0"/>
          <w:numId w:val="0"/>
        </w:numPr>
        <w:spacing w:line="360" w:lineRule="auto"/>
        <w:ind w:leftChars="0" w:firstLine="560" w:firstLineChars="200"/>
        <w:jc w:val="left"/>
        <w:rPr>
          <w:rFonts w:hint="eastAsia" w:ascii="华文仿宋" w:hAnsi="华文仿宋" w:eastAsia="华文仿宋" w:cs="华文仿宋"/>
          <w:sz w:val="28"/>
          <w:szCs w:val="28"/>
          <w:lang w:val="en-US" w:eastAsia="zh-CN"/>
        </w:rPr>
      </w:pPr>
      <w:r>
        <w:rPr>
          <w:rFonts w:hint="eastAsia" w:ascii="华文仿宋" w:hAnsi="华文仿宋" w:eastAsia="华文仿宋" w:cs="华文仿宋"/>
          <w:sz w:val="28"/>
          <w:szCs w:val="28"/>
          <w:lang w:val="en-US" w:eastAsia="zh-CN"/>
        </w:rPr>
        <w:t>符合下列条件的学生有资格参加推荐免试攻读硕士学位研究生。</w:t>
      </w:r>
    </w:p>
    <w:p w14:paraId="7DABA8E8">
      <w:pPr>
        <w:numPr>
          <w:ilvl w:val="0"/>
          <w:numId w:val="4"/>
        </w:numPr>
        <w:spacing w:line="360" w:lineRule="auto"/>
        <w:ind w:left="425" w:leftChars="0" w:hanging="425" w:firstLineChars="0"/>
        <w:jc w:val="left"/>
        <w:rPr>
          <w:rFonts w:hint="eastAsia" w:ascii="华文仿宋" w:hAnsi="华文仿宋" w:eastAsia="华文仿宋" w:cs="华文仿宋"/>
          <w:sz w:val="28"/>
          <w:szCs w:val="28"/>
          <w:lang w:val="en-US" w:eastAsia="zh-CN"/>
        </w:rPr>
      </w:pPr>
      <w:r>
        <w:rPr>
          <w:rFonts w:hint="eastAsia" w:ascii="华文仿宋" w:hAnsi="华文仿宋" w:eastAsia="华文仿宋" w:cs="华文仿宋"/>
          <w:sz w:val="28"/>
          <w:szCs w:val="28"/>
          <w:lang w:val="en-US" w:eastAsia="zh-CN"/>
        </w:rPr>
        <w:t>应届本科毕业生，系本校通过普通高考（含保送方式）招生录取或面向港澳台华侨学生招生录取的全日制本科生，不含专升本、第二学士学位学生，不含延长学籍学生（延长学籍学生范围按照《首都经济贸易大学全日制本科生延长学籍管理办法》执行）。</w:t>
      </w:r>
    </w:p>
    <w:p w14:paraId="113F55E4">
      <w:pPr>
        <w:numPr>
          <w:ilvl w:val="0"/>
          <w:numId w:val="4"/>
        </w:numPr>
        <w:spacing w:line="360" w:lineRule="auto"/>
        <w:ind w:left="425" w:leftChars="0" w:hanging="425" w:firstLineChars="0"/>
        <w:jc w:val="left"/>
        <w:rPr>
          <w:rFonts w:hint="eastAsia" w:ascii="华文仿宋" w:hAnsi="华文仿宋" w:eastAsia="华文仿宋" w:cs="华文仿宋"/>
          <w:sz w:val="28"/>
          <w:szCs w:val="28"/>
          <w:lang w:val="en-US" w:eastAsia="zh-CN"/>
        </w:rPr>
      </w:pPr>
      <w:r>
        <w:rPr>
          <w:rFonts w:hint="eastAsia" w:ascii="华文仿宋" w:hAnsi="华文仿宋" w:eastAsia="华文仿宋" w:cs="华文仿宋"/>
          <w:sz w:val="28"/>
          <w:szCs w:val="28"/>
          <w:lang w:val="en-US" w:eastAsia="zh-CN"/>
        </w:rPr>
        <w:t>遵守中华人民共和国宪法和法律、诚实守信；具有高尚的爱国主义情操和集体主义精神，社会主义信念坚定，社会责任感强，积极向上，身心健康；学风端正，不存在考试作弊和学术不端行为；品行表现优良，无任何违法记录，在校期间无纪律处分记录，综合测评成绩优秀。</w:t>
      </w:r>
    </w:p>
    <w:p w14:paraId="67DB44C4">
      <w:pPr>
        <w:numPr>
          <w:ilvl w:val="0"/>
          <w:numId w:val="4"/>
        </w:numPr>
        <w:spacing w:line="360" w:lineRule="auto"/>
        <w:ind w:left="425" w:leftChars="0" w:hanging="425" w:firstLineChars="0"/>
        <w:jc w:val="left"/>
        <w:rPr>
          <w:rFonts w:hint="eastAsia" w:ascii="华文仿宋" w:hAnsi="华文仿宋" w:eastAsia="华文仿宋" w:cs="华文仿宋"/>
          <w:sz w:val="28"/>
          <w:szCs w:val="28"/>
          <w:lang w:val="en-US" w:eastAsia="zh-CN"/>
        </w:rPr>
      </w:pPr>
      <w:r>
        <w:rPr>
          <w:rFonts w:hint="eastAsia" w:ascii="华文仿宋" w:hAnsi="华文仿宋" w:eastAsia="华文仿宋" w:cs="华文仿宋"/>
          <w:sz w:val="28"/>
          <w:szCs w:val="28"/>
          <w:lang w:val="en-US" w:eastAsia="zh-CN"/>
        </w:rPr>
        <w:t>勤奋学习，刻苦钻研，成绩优秀。系统掌握本学科专业领域的基础理论、专业知识和基本技能；学术研究兴趣浓厚，具有从事科学研究、专业实践的能力和基础，以及较强的创新意识和潜质。在校1至3学年教学计划规定修读的必修课成绩无不及格记录，平均分达到80 分及以上，平均分排名在本专业应届毕业生的前50%，外语成绩达到学校规定标准（非外语专业学生参加全国大学外语四级考试成绩达到425 分及以上或其他小语种考试成绩达到合格标准。外语专业学生参加高等学校外语专业基础阶段考试，成绩达到合格标准）。</w:t>
      </w:r>
    </w:p>
    <w:p w14:paraId="4FBF7899">
      <w:pPr>
        <w:numPr>
          <w:ilvl w:val="0"/>
          <w:numId w:val="4"/>
        </w:numPr>
        <w:spacing w:line="360" w:lineRule="auto"/>
        <w:ind w:left="425" w:leftChars="0" w:hanging="425" w:firstLineChars="0"/>
        <w:jc w:val="left"/>
        <w:rPr>
          <w:rFonts w:hint="eastAsia" w:ascii="华文仿宋" w:hAnsi="华文仿宋" w:eastAsia="华文仿宋" w:cs="华文仿宋"/>
          <w:sz w:val="28"/>
          <w:szCs w:val="28"/>
          <w:lang w:val="en-US" w:eastAsia="zh-CN"/>
        </w:rPr>
      </w:pPr>
      <w:r>
        <w:rPr>
          <w:rFonts w:hint="eastAsia" w:ascii="华文仿宋" w:hAnsi="华文仿宋" w:eastAsia="华文仿宋" w:cs="华文仿宋"/>
          <w:sz w:val="28"/>
          <w:szCs w:val="28"/>
          <w:lang w:val="en-US" w:eastAsia="zh-CN"/>
        </w:rPr>
        <w:t xml:space="preserve">对有特殊学术专长或具有突出培养潜质者，须有3名以上本校本专业教授联名推荐，经校推免领导小组审查批准，可不受综合排名限制，但学生有关说明材料和教授推荐信要进行公示。 </w:t>
      </w:r>
    </w:p>
    <w:p w14:paraId="03B44C93">
      <w:pPr>
        <w:numPr>
          <w:ilvl w:val="0"/>
          <w:numId w:val="4"/>
        </w:numPr>
        <w:spacing w:line="360" w:lineRule="auto"/>
        <w:ind w:left="425" w:leftChars="0" w:hanging="425" w:firstLineChars="0"/>
        <w:jc w:val="left"/>
        <w:rPr>
          <w:rFonts w:hint="eastAsia" w:ascii="华文仿宋" w:hAnsi="华文仿宋" w:eastAsia="华文仿宋" w:cs="华文仿宋"/>
          <w:sz w:val="28"/>
          <w:szCs w:val="28"/>
          <w:lang w:val="en-US" w:eastAsia="zh-CN"/>
        </w:rPr>
      </w:pPr>
      <w:r>
        <w:rPr>
          <w:rFonts w:hint="eastAsia" w:ascii="华文仿宋" w:hAnsi="华文仿宋" w:eastAsia="华文仿宋" w:cs="华文仿宋"/>
          <w:sz w:val="28"/>
          <w:szCs w:val="28"/>
          <w:lang w:val="en-US" w:eastAsia="zh-CN"/>
        </w:rPr>
        <w:t xml:space="preserve">在部队服兵役期间荣立二等功及以上的应届本科毕业生，符合研究生报名条件的可免试（指初试）攻读硕士研究生。 </w:t>
      </w:r>
    </w:p>
    <w:p w14:paraId="49DE2F6D">
      <w:pPr>
        <w:numPr>
          <w:ilvl w:val="0"/>
          <w:numId w:val="1"/>
        </w:numPr>
        <w:spacing w:line="360" w:lineRule="auto"/>
        <w:ind w:left="0" w:leftChars="0" w:firstLine="420" w:firstLineChars="0"/>
        <w:rPr>
          <w:rFonts w:hint="eastAsia" w:ascii="黑体" w:hAnsi="黑体" w:eastAsia="黑体" w:cs="黑体"/>
          <w:b w:val="0"/>
          <w:bCs w:val="0"/>
          <w:sz w:val="28"/>
          <w:szCs w:val="28"/>
          <w:u w:val="double"/>
          <w:lang w:val="en-US" w:eastAsia="zh-CN"/>
        </w:rPr>
      </w:pPr>
      <w:r>
        <w:rPr>
          <w:rFonts w:hint="eastAsia" w:ascii="黑体" w:hAnsi="黑体" w:eastAsia="黑体" w:cs="黑体"/>
          <w:b w:val="0"/>
          <w:bCs w:val="0"/>
          <w:sz w:val="28"/>
          <w:szCs w:val="28"/>
          <w:u w:val="double"/>
          <w:lang w:val="en-US" w:eastAsia="zh-CN"/>
        </w:rPr>
        <w:t>工作程序</w:t>
      </w:r>
    </w:p>
    <w:p w14:paraId="372D5F76">
      <w:pPr>
        <w:numPr>
          <w:ilvl w:val="0"/>
          <w:numId w:val="5"/>
        </w:numPr>
        <w:spacing w:line="360" w:lineRule="auto"/>
        <w:ind w:left="425" w:leftChars="0" w:hanging="425" w:firstLineChars="0"/>
        <w:rPr>
          <w:rFonts w:hint="eastAsia" w:ascii="华文仿宋" w:hAnsi="华文仿宋" w:eastAsia="华文仿宋" w:cs="华文仿宋"/>
          <w:sz w:val="28"/>
          <w:szCs w:val="28"/>
          <w:lang w:val="en-US" w:eastAsia="zh-CN"/>
        </w:rPr>
      </w:pPr>
      <w:r>
        <w:rPr>
          <w:rFonts w:hint="eastAsia" w:ascii="华文仿宋" w:hAnsi="华文仿宋" w:eastAsia="华文仿宋" w:cs="华文仿宋"/>
          <w:b/>
          <w:bCs/>
          <w:sz w:val="28"/>
          <w:szCs w:val="28"/>
          <w:lang w:val="en-US" w:eastAsia="zh-CN"/>
        </w:rPr>
        <w:t>计划分配。</w:t>
      </w:r>
      <w:r>
        <w:rPr>
          <w:rFonts w:hint="eastAsia" w:ascii="华文仿宋" w:hAnsi="华文仿宋" w:eastAsia="华文仿宋" w:cs="华文仿宋"/>
          <w:b w:val="0"/>
          <w:bCs w:val="0"/>
          <w:sz w:val="28"/>
          <w:szCs w:val="28"/>
          <w:lang w:val="en-US" w:eastAsia="zh-CN"/>
        </w:rPr>
        <w:t>按照本细则中第二条规定，进行名额分配</w:t>
      </w:r>
      <w:r>
        <w:rPr>
          <w:rFonts w:hint="eastAsia" w:ascii="华文仿宋" w:hAnsi="华文仿宋" w:eastAsia="华文仿宋" w:cs="华文仿宋"/>
          <w:sz w:val="28"/>
          <w:szCs w:val="28"/>
          <w:lang w:val="en-US" w:eastAsia="zh-CN"/>
        </w:rPr>
        <w:t>。</w:t>
      </w:r>
    </w:p>
    <w:p w14:paraId="485C7DA0">
      <w:pPr>
        <w:numPr>
          <w:ilvl w:val="0"/>
          <w:numId w:val="5"/>
        </w:numPr>
        <w:spacing w:line="360" w:lineRule="auto"/>
        <w:ind w:left="425" w:leftChars="0" w:hanging="425" w:firstLineChars="0"/>
        <w:rPr>
          <w:rFonts w:hint="default" w:ascii="华文仿宋" w:hAnsi="华文仿宋" w:eastAsia="华文仿宋" w:cs="华文仿宋"/>
          <w:sz w:val="28"/>
          <w:szCs w:val="28"/>
          <w:highlight w:val="none"/>
          <w:lang w:val="en-US" w:eastAsia="zh-CN"/>
        </w:rPr>
      </w:pPr>
      <w:r>
        <w:rPr>
          <w:rFonts w:hint="eastAsia" w:ascii="华文仿宋" w:hAnsi="华文仿宋" w:eastAsia="华文仿宋" w:cs="华文仿宋"/>
          <w:b/>
          <w:bCs/>
          <w:sz w:val="28"/>
          <w:szCs w:val="28"/>
          <w:lang w:val="en-US" w:eastAsia="zh-CN"/>
        </w:rPr>
        <w:t>学生申请。</w:t>
      </w:r>
      <w:r>
        <w:rPr>
          <w:rFonts w:hint="eastAsia" w:ascii="华文仿宋" w:hAnsi="华文仿宋" w:eastAsia="华文仿宋" w:cs="华文仿宋"/>
          <w:sz w:val="28"/>
          <w:szCs w:val="28"/>
          <w:lang w:val="en-US" w:eastAsia="zh-CN"/>
        </w:rPr>
        <w:t>符合推免资格的学生应于规定时间内提交书面申请及相关证明材料，未按时提交书面申请和材料者视为自愿放弃推免资格。</w:t>
      </w:r>
    </w:p>
    <w:p w14:paraId="3227EA4E">
      <w:pPr>
        <w:numPr>
          <w:ilvl w:val="0"/>
          <w:numId w:val="5"/>
        </w:numPr>
        <w:spacing w:line="360" w:lineRule="auto"/>
        <w:ind w:left="425" w:leftChars="0" w:hanging="425" w:firstLineChars="0"/>
        <w:rPr>
          <w:rFonts w:hint="default" w:ascii="华文仿宋" w:hAnsi="华文仿宋" w:eastAsia="华文仿宋" w:cs="华文仿宋"/>
          <w:sz w:val="28"/>
          <w:szCs w:val="28"/>
          <w:highlight w:val="none"/>
          <w:lang w:val="en-US" w:eastAsia="zh-CN"/>
        </w:rPr>
      </w:pPr>
      <w:r>
        <w:rPr>
          <w:rFonts w:hint="eastAsia" w:ascii="华文仿宋" w:hAnsi="华文仿宋" w:eastAsia="华文仿宋" w:cs="华文仿宋"/>
          <w:b/>
          <w:bCs/>
          <w:sz w:val="28"/>
          <w:szCs w:val="28"/>
          <w:lang w:val="en-US" w:eastAsia="zh-CN"/>
        </w:rPr>
        <w:t>鉴定创新和科研能力加分。</w:t>
      </w:r>
      <w:r>
        <w:rPr>
          <w:rFonts w:hint="eastAsia" w:ascii="华文仿宋" w:hAnsi="华文仿宋" w:eastAsia="华文仿宋" w:cs="华文仿宋"/>
          <w:sz w:val="28"/>
          <w:szCs w:val="28"/>
          <w:lang w:val="en-US" w:eastAsia="zh-CN"/>
        </w:rPr>
        <w:t>学院须成立由相关学科领域专家组成的工作组负责审核材料、鉴定创新和科研成果，每组不少于3人。</w:t>
      </w:r>
    </w:p>
    <w:p w14:paraId="3BB70747">
      <w:pPr>
        <w:numPr>
          <w:ilvl w:val="0"/>
          <w:numId w:val="5"/>
        </w:numPr>
        <w:spacing w:line="360" w:lineRule="auto"/>
        <w:ind w:left="425" w:leftChars="0" w:hanging="425" w:firstLineChars="0"/>
        <w:rPr>
          <w:rFonts w:hint="eastAsia" w:ascii="黑体" w:hAnsi="黑体" w:eastAsia="黑体" w:cs="黑体"/>
          <w:b w:val="0"/>
          <w:bCs w:val="0"/>
          <w:sz w:val="28"/>
          <w:szCs w:val="28"/>
          <w:lang w:val="en-US" w:eastAsia="zh-CN"/>
        </w:rPr>
      </w:pPr>
      <w:r>
        <w:rPr>
          <w:rFonts w:hint="eastAsia" w:ascii="华文仿宋" w:hAnsi="华文仿宋" w:eastAsia="华文仿宋" w:cs="华文仿宋"/>
          <w:b/>
          <w:bCs/>
          <w:sz w:val="28"/>
          <w:szCs w:val="28"/>
          <w:lang w:val="en-US" w:eastAsia="zh-CN"/>
        </w:rPr>
        <w:t>核算考评成绩，确定综合排名。</w:t>
      </w:r>
      <w:r>
        <w:rPr>
          <w:rFonts w:hint="eastAsia" w:ascii="华文仿宋" w:hAnsi="华文仿宋" w:eastAsia="华文仿宋" w:cs="华文仿宋"/>
          <w:sz w:val="28"/>
          <w:szCs w:val="28"/>
          <w:lang w:val="en-US" w:eastAsia="zh-CN"/>
        </w:rPr>
        <w:t>学院对符合条件的申请学生按照考评成绩（考评成绩= 必修课程平均成绩（应为学生首次获得的课程成绩）*90%+ 思想品德成绩*10% + 附加分)进行综合排名，并在学院、相关部门网站公示，公示期一般为7天。</w:t>
      </w:r>
    </w:p>
    <w:p w14:paraId="34B5EF1D">
      <w:pPr>
        <w:numPr>
          <w:ilvl w:val="0"/>
          <w:numId w:val="6"/>
        </w:numPr>
        <w:spacing w:line="360" w:lineRule="auto"/>
        <w:ind w:left="425" w:leftChars="0" w:hanging="425" w:firstLineChars="0"/>
        <w:rPr>
          <w:rFonts w:hint="eastAsia" w:ascii="黑体" w:hAnsi="黑体" w:eastAsia="黑体" w:cs="黑体"/>
          <w:b w:val="0"/>
          <w:bCs w:val="0"/>
          <w:sz w:val="28"/>
          <w:szCs w:val="28"/>
          <w:lang w:val="en-US" w:eastAsia="zh-CN"/>
        </w:rPr>
      </w:pPr>
      <w:r>
        <w:rPr>
          <w:rFonts w:hint="eastAsia" w:ascii="华文仿宋" w:hAnsi="华文仿宋" w:eastAsia="华文仿宋" w:cs="华文仿宋"/>
          <w:sz w:val="28"/>
          <w:szCs w:val="28"/>
          <w:highlight w:val="none"/>
          <w:lang w:val="en-US" w:eastAsia="zh-CN"/>
        </w:rPr>
        <w:t>思想品德成绩：根据《高等学校学生行为准则》的内容要求，分别从政治思想、集体观念、道德品质、遵纪守法和社会活动五个方面考察学生的行为表现。学生互评占50%，由拟推荐学生所在班级学生按照 100 分为基准为其评定得出平均分值，参加互评的学生人数须达到本班学生总数的 2/3 及以上；教师评定占50%，是由院（系）主管学生工作的党委副书记、分团委书记、专职辅导员和拟推荐学生班主任组成小组按照100 分为基准进行评定得出平均分值。</w:t>
      </w:r>
    </w:p>
    <w:p w14:paraId="4A389A7B">
      <w:pPr>
        <w:numPr>
          <w:ilvl w:val="0"/>
          <w:numId w:val="6"/>
        </w:numPr>
        <w:spacing w:line="360" w:lineRule="auto"/>
        <w:ind w:left="425" w:leftChars="0" w:hanging="425" w:firstLineChars="0"/>
        <w:rPr>
          <w:rFonts w:hint="eastAsia" w:ascii="黑体" w:hAnsi="黑体" w:eastAsia="黑体" w:cs="黑体"/>
          <w:b w:val="0"/>
          <w:bCs w:val="0"/>
          <w:sz w:val="28"/>
          <w:szCs w:val="28"/>
          <w:lang w:val="en-US" w:eastAsia="zh-CN"/>
        </w:rPr>
      </w:pPr>
      <w:r>
        <w:rPr>
          <w:rFonts w:hint="eastAsia" w:ascii="华文仿宋" w:hAnsi="华文仿宋" w:eastAsia="华文仿宋" w:cs="华文仿宋"/>
          <w:sz w:val="28"/>
          <w:szCs w:val="28"/>
          <w:lang w:val="en-US" w:eastAsia="zh-CN"/>
        </w:rPr>
        <w:t>附加分：严格按照《实施办法》第四条执行。其中创新和科研能力加分，学院将组织有创新和科研能力加分的申请推免资格学生进行答辩。对申请推免资格学生的科研创新成果、论文、竞赛获奖奖项及内容进行审核鉴定，排除抄袭、造假、冒名及有名无实等情况。如有联合成果，学生需出具指导教师本人撰写并署名的推荐信，客观陈述学生在联合成果中的实际贡献。</w:t>
      </w:r>
    </w:p>
    <w:p w14:paraId="2021AED5">
      <w:pPr>
        <w:numPr>
          <w:ilvl w:val="0"/>
          <w:numId w:val="5"/>
        </w:numPr>
        <w:spacing w:line="360" w:lineRule="auto"/>
        <w:ind w:left="425" w:leftChars="0" w:hanging="425" w:firstLineChars="0"/>
        <w:rPr>
          <w:rFonts w:hint="default" w:ascii="华文仿宋" w:hAnsi="华文仿宋" w:eastAsia="华文仿宋" w:cs="华文仿宋"/>
          <w:sz w:val="28"/>
          <w:szCs w:val="28"/>
          <w:highlight w:val="none"/>
          <w:lang w:val="en-US" w:eastAsia="zh-CN"/>
        </w:rPr>
      </w:pPr>
      <w:r>
        <w:rPr>
          <w:rFonts w:hint="eastAsia" w:ascii="华文仿宋" w:hAnsi="华文仿宋" w:eastAsia="华文仿宋" w:cs="华文仿宋"/>
          <w:b/>
          <w:bCs/>
          <w:sz w:val="28"/>
          <w:szCs w:val="28"/>
          <w:lang w:val="en-US" w:eastAsia="zh-CN"/>
        </w:rPr>
        <w:t>确定推免学生名单。</w:t>
      </w:r>
      <w:r>
        <w:rPr>
          <w:rFonts w:hint="eastAsia" w:ascii="华文仿宋" w:hAnsi="华文仿宋" w:eastAsia="华文仿宋" w:cs="华文仿宋"/>
          <w:sz w:val="28"/>
          <w:szCs w:val="28"/>
          <w:lang w:val="en-US" w:eastAsia="zh-CN"/>
        </w:rPr>
        <w:t>学院推免工作小组按分配的名额确定推免人选，推免人选名单经学校推免生遴选推荐委员会审核通过，并在全校范围内公示7天无异议后上报上级主管部门。</w:t>
      </w:r>
    </w:p>
    <w:p w14:paraId="7D000207">
      <w:pPr>
        <w:numPr>
          <w:ilvl w:val="0"/>
          <w:numId w:val="1"/>
        </w:numPr>
        <w:spacing w:line="360" w:lineRule="auto"/>
        <w:ind w:left="0" w:leftChars="0" w:firstLine="420" w:firstLineChars="0"/>
        <w:rPr>
          <w:rFonts w:hint="eastAsia" w:ascii="黑体" w:hAnsi="黑体" w:eastAsia="黑体" w:cs="黑体"/>
          <w:b w:val="0"/>
          <w:bCs w:val="0"/>
          <w:sz w:val="28"/>
          <w:szCs w:val="28"/>
          <w:u w:val="double"/>
          <w:lang w:val="en-US" w:eastAsia="zh-CN"/>
        </w:rPr>
      </w:pPr>
      <w:r>
        <w:rPr>
          <w:rFonts w:hint="eastAsia" w:ascii="黑体" w:hAnsi="黑体" w:eastAsia="黑体" w:cs="黑体"/>
          <w:b w:val="0"/>
          <w:bCs w:val="0"/>
          <w:sz w:val="28"/>
          <w:szCs w:val="28"/>
          <w:u w:val="double"/>
          <w:lang w:val="en-US" w:eastAsia="zh-CN"/>
        </w:rPr>
        <w:t>同分排名规则</w:t>
      </w:r>
    </w:p>
    <w:p w14:paraId="65AED81F">
      <w:pPr>
        <w:numPr>
          <w:ilvl w:val="0"/>
          <w:numId w:val="0"/>
        </w:numPr>
        <w:spacing w:line="360" w:lineRule="auto"/>
        <w:ind w:leftChars="0" w:firstLine="280" w:firstLineChars="100"/>
        <w:rPr>
          <w:rFonts w:hint="default" w:ascii="华文仿宋" w:hAnsi="华文仿宋" w:eastAsia="华文仿宋" w:cs="华文仿宋"/>
          <w:sz w:val="28"/>
          <w:szCs w:val="28"/>
          <w:lang w:val="en-US" w:eastAsia="zh-CN"/>
        </w:rPr>
      </w:pPr>
      <w:r>
        <w:rPr>
          <w:rFonts w:hint="eastAsia" w:ascii="华文仿宋" w:hAnsi="华文仿宋" w:eastAsia="华文仿宋" w:cs="华文仿宋"/>
          <w:sz w:val="28"/>
          <w:szCs w:val="28"/>
          <w:lang w:val="en-US" w:eastAsia="zh-CN"/>
        </w:rPr>
        <w:t>考评成绩相同时，依次按照必修课程平均成绩、附加分成绩和思想品德成绩由高到低进行排序，如上述三项成绩均相同，按照科研和创新能力加分由高到低进行排序。</w:t>
      </w:r>
    </w:p>
    <w:p w14:paraId="4FDCF8D4">
      <w:pPr>
        <w:numPr>
          <w:ilvl w:val="0"/>
          <w:numId w:val="1"/>
        </w:numPr>
        <w:spacing w:line="360" w:lineRule="auto"/>
        <w:ind w:left="0" w:leftChars="0" w:firstLine="420" w:firstLineChars="0"/>
        <w:rPr>
          <w:rFonts w:hint="eastAsia" w:ascii="黑体" w:hAnsi="黑体" w:eastAsia="黑体" w:cs="黑体"/>
          <w:b w:val="0"/>
          <w:bCs w:val="0"/>
          <w:sz w:val="28"/>
          <w:szCs w:val="28"/>
          <w:u w:val="double"/>
          <w:lang w:val="en-US" w:eastAsia="zh-CN"/>
        </w:rPr>
      </w:pPr>
      <w:r>
        <w:rPr>
          <w:rFonts w:hint="eastAsia" w:ascii="黑体" w:hAnsi="黑体" w:eastAsia="黑体" w:cs="黑体"/>
          <w:b w:val="0"/>
          <w:bCs w:val="0"/>
          <w:sz w:val="28"/>
          <w:szCs w:val="28"/>
          <w:u w:val="double"/>
          <w:lang w:val="en-US" w:eastAsia="zh-CN"/>
        </w:rPr>
        <w:t>递补规则</w:t>
      </w:r>
    </w:p>
    <w:p w14:paraId="50E3109B">
      <w:pPr>
        <w:numPr>
          <w:ilvl w:val="0"/>
          <w:numId w:val="7"/>
        </w:numPr>
        <w:spacing w:line="360" w:lineRule="auto"/>
        <w:ind w:left="425" w:leftChars="0" w:hanging="425" w:firstLineChars="0"/>
        <w:rPr>
          <w:rFonts w:ascii="宋体" w:hAnsi="宋体" w:eastAsia="宋体"/>
          <w:sz w:val="24"/>
          <w:szCs w:val="24"/>
        </w:rPr>
      </w:pPr>
      <w:r>
        <w:rPr>
          <w:rFonts w:hint="eastAsia" w:ascii="华文仿宋" w:hAnsi="华文仿宋" w:eastAsia="华文仿宋" w:cs="华文仿宋"/>
          <w:sz w:val="28"/>
          <w:szCs w:val="28"/>
          <w:lang w:val="en-US" w:eastAsia="zh-CN"/>
        </w:rPr>
        <w:t>统筹名额的80%按专业排名递补，剩余名额按学院大排名递补，</w:t>
      </w:r>
      <w:r>
        <w:rPr>
          <w:rFonts w:hint="eastAsia" w:ascii="华文仿宋" w:hAnsi="华文仿宋" w:eastAsia="华文仿宋" w:cs="华文仿宋"/>
          <w:sz w:val="28"/>
          <w:szCs w:val="28"/>
          <w:highlight w:val="none"/>
          <w:lang w:val="en-US" w:eastAsia="zh-CN"/>
        </w:rPr>
        <w:t>定向名额按定向专业的学院大排名递补。</w:t>
      </w:r>
    </w:p>
    <w:p w14:paraId="350AC3E5">
      <w:pPr>
        <w:numPr>
          <w:ilvl w:val="0"/>
          <w:numId w:val="7"/>
        </w:numPr>
        <w:spacing w:line="360" w:lineRule="auto"/>
        <w:ind w:left="425" w:leftChars="0" w:hanging="425" w:firstLineChars="0"/>
        <w:rPr>
          <w:rFonts w:ascii="宋体" w:hAnsi="宋体" w:eastAsia="宋体"/>
          <w:sz w:val="24"/>
          <w:szCs w:val="24"/>
        </w:rPr>
      </w:pPr>
      <w:r>
        <w:rPr>
          <w:rFonts w:hint="eastAsia" w:ascii="华文仿宋" w:hAnsi="华文仿宋" w:eastAsia="华文仿宋" w:cs="华文仿宋"/>
          <w:sz w:val="28"/>
          <w:szCs w:val="28"/>
          <w:lang w:val="en-US" w:eastAsia="zh-CN"/>
        </w:rPr>
        <w:t>统计学（数据科学）与统计学（中外合作办学）名额单列，不参与学院大排名递补。</w:t>
      </w:r>
    </w:p>
    <w:p w14:paraId="2FCA6885">
      <w:pPr>
        <w:numPr>
          <w:ilvl w:val="0"/>
          <w:numId w:val="1"/>
        </w:numPr>
        <w:spacing w:line="360" w:lineRule="auto"/>
        <w:ind w:left="0" w:leftChars="0" w:firstLine="420" w:firstLineChars="0"/>
        <w:rPr>
          <w:rFonts w:hint="eastAsia" w:ascii="黑体" w:hAnsi="黑体" w:eastAsia="黑体" w:cs="黑体"/>
          <w:b w:val="0"/>
          <w:bCs w:val="0"/>
          <w:sz w:val="28"/>
          <w:szCs w:val="28"/>
          <w:u w:val="double"/>
          <w:lang w:val="en-US" w:eastAsia="zh-CN"/>
        </w:rPr>
      </w:pPr>
      <w:r>
        <w:rPr>
          <w:rFonts w:hint="eastAsia" w:ascii="黑体" w:hAnsi="黑体" w:eastAsia="黑体" w:cs="黑体"/>
          <w:b w:val="0"/>
          <w:bCs w:val="0"/>
          <w:sz w:val="28"/>
          <w:szCs w:val="28"/>
          <w:u w:val="double"/>
          <w:lang w:val="en-US" w:eastAsia="zh-CN"/>
        </w:rPr>
        <w:t>公示及申诉渠道</w:t>
      </w:r>
    </w:p>
    <w:p w14:paraId="51905B51">
      <w:pPr>
        <w:numPr>
          <w:ilvl w:val="0"/>
          <w:numId w:val="8"/>
        </w:numPr>
        <w:spacing w:line="360" w:lineRule="auto"/>
        <w:ind w:left="425" w:leftChars="0" w:hanging="425" w:firstLineChars="0"/>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录取名单公布在学院网站及学院公示栏，公示期为七天；</w:t>
      </w:r>
    </w:p>
    <w:p w14:paraId="691B8B72">
      <w:pPr>
        <w:numPr>
          <w:ilvl w:val="0"/>
          <w:numId w:val="8"/>
        </w:numPr>
        <w:spacing w:line="360" w:lineRule="auto"/>
        <w:ind w:left="425" w:leftChars="0" w:hanging="425" w:firstLineChars="0"/>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如遇任何问题，可至慎思楼426或拨打83952186咨询，统计学（数据科学）与统计学（中外合作办学）专业学生可至博远楼330或拨打83952342咨询。（工作日9:00-11:00；14:00-16:00）</w:t>
      </w:r>
    </w:p>
    <w:p w14:paraId="2DF55882">
      <w:pPr>
        <w:numPr>
          <w:ilvl w:val="0"/>
          <w:numId w:val="8"/>
        </w:numPr>
        <w:spacing w:line="360" w:lineRule="auto"/>
        <w:ind w:left="425" w:leftChars="0" w:hanging="425" w:firstLineChars="0"/>
        <w:rPr>
          <w:rFonts w:hint="default"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联系邮箱：</w:t>
      </w:r>
      <w:r>
        <w:rPr>
          <w:rFonts w:hint="eastAsia" w:ascii="华文仿宋" w:hAnsi="华文仿宋" w:eastAsia="华文仿宋" w:cs="华文仿宋"/>
          <w:b w:val="0"/>
          <w:bCs w:val="0"/>
          <w:sz w:val="28"/>
          <w:szCs w:val="28"/>
          <w:lang w:val="en-US" w:eastAsia="zh-CN"/>
        </w:rPr>
        <w:fldChar w:fldCharType="begin"/>
      </w:r>
      <w:r>
        <w:rPr>
          <w:rFonts w:hint="eastAsia" w:ascii="华文仿宋" w:hAnsi="华文仿宋" w:eastAsia="华文仿宋" w:cs="华文仿宋"/>
          <w:b w:val="0"/>
          <w:bCs w:val="0"/>
          <w:sz w:val="28"/>
          <w:szCs w:val="28"/>
          <w:lang w:val="en-US" w:eastAsia="zh-CN"/>
        </w:rPr>
        <w:instrText xml:space="preserve"> HYPERLINK "mailto:sunyijing@cueb.edu.cn" </w:instrText>
      </w:r>
      <w:r>
        <w:rPr>
          <w:rFonts w:hint="eastAsia" w:ascii="华文仿宋" w:hAnsi="华文仿宋" w:eastAsia="华文仿宋" w:cs="华文仿宋"/>
          <w:b w:val="0"/>
          <w:bCs w:val="0"/>
          <w:sz w:val="28"/>
          <w:szCs w:val="28"/>
          <w:lang w:val="en-US" w:eastAsia="zh-CN"/>
        </w:rPr>
        <w:fldChar w:fldCharType="separate"/>
      </w:r>
      <w:r>
        <w:rPr>
          <w:rStyle w:val="13"/>
          <w:rFonts w:hint="eastAsia" w:ascii="华文仿宋" w:hAnsi="华文仿宋" w:eastAsia="华文仿宋" w:cs="华文仿宋"/>
          <w:b w:val="0"/>
          <w:bCs w:val="0"/>
          <w:sz w:val="28"/>
          <w:szCs w:val="28"/>
          <w:lang w:val="en-US" w:eastAsia="zh-CN"/>
        </w:rPr>
        <w:t>sunyijing@cueb.edu.cn</w:t>
      </w:r>
      <w:r>
        <w:rPr>
          <w:rFonts w:hint="eastAsia" w:ascii="华文仿宋" w:hAnsi="华文仿宋" w:eastAsia="华文仿宋" w:cs="华文仿宋"/>
          <w:b w:val="0"/>
          <w:bCs w:val="0"/>
          <w:sz w:val="28"/>
          <w:szCs w:val="28"/>
          <w:lang w:val="en-US" w:eastAsia="zh-CN"/>
        </w:rPr>
        <w:fldChar w:fldCharType="end"/>
      </w:r>
      <w:r>
        <w:rPr>
          <w:rFonts w:hint="eastAsia" w:ascii="华文仿宋" w:hAnsi="华文仿宋" w:eastAsia="华文仿宋" w:cs="华文仿宋"/>
          <w:b w:val="0"/>
          <w:bCs w:val="0"/>
          <w:sz w:val="28"/>
          <w:szCs w:val="28"/>
          <w:lang w:val="en-US" w:eastAsia="zh-CN"/>
        </w:rPr>
        <w:t xml:space="preserve">&amp;laurali@cueb.edu.cn  </w:t>
      </w:r>
    </w:p>
    <w:p w14:paraId="23F3BC78">
      <w:pPr>
        <w:numPr>
          <w:ilvl w:val="0"/>
          <w:numId w:val="1"/>
        </w:numPr>
        <w:spacing w:line="360" w:lineRule="auto"/>
        <w:ind w:left="0" w:leftChars="0" w:firstLine="420" w:firstLineChars="0"/>
        <w:rPr>
          <w:rFonts w:hint="eastAsia" w:ascii="黑体" w:hAnsi="黑体" w:eastAsia="黑体" w:cs="黑体"/>
          <w:b w:val="0"/>
          <w:bCs w:val="0"/>
          <w:sz w:val="28"/>
          <w:szCs w:val="28"/>
          <w:u w:val="double"/>
          <w:lang w:val="en-US" w:eastAsia="zh-CN"/>
        </w:rPr>
      </w:pPr>
      <w:r>
        <w:rPr>
          <w:rFonts w:hint="eastAsia" w:ascii="黑体" w:hAnsi="黑体" w:eastAsia="黑体" w:cs="黑体"/>
          <w:b w:val="0"/>
          <w:bCs w:val="0"/>
          <w:sz w:val="28"/>
          <w:szCs w:val="28"/>
          <w:u w:val="double"/>
          <w:lang w:val="en-US" w:eastAsia="zh-CN"/>
        </w:rPr>
        <w:t>具体工作安排</w:t>
      </w:r>
    </w:p>
    <w:p w14:paraId="48A15E13">
      <w:pPr>
        <w:numPr>
          <w:ilvl w:val="0"/>
          <w:numId w:val="9"/>
        </w:numPr>
        <w:spacing w:line="360" w:lineRule="auto"/>
        <w:ind w:left="425" w:leftChars="0" w:hanging="425" w:firstLineChars="0"/>
        <w:rPr>
          <w:rFonts w:hint="eastAsia" w:ascii="华文仿宋" w:hAnsi="华文仿宋" w:eastAsia="华文仿宋" w:cs="华文仿宋"/>
          <w:sz w:val="28"/>
          <w:szCs w:val="28"/>
          <w:lang w:val="en-US" w:eastAsia="zh-CN"/>
        </w:rPr>
      </w:pPr>
      <w:r>
        <w:rPr>
          <w:rFonts w:hint="eastAsia" w:ascii="华文仿宋" w:hAnsi="华文仿宋" w:eastAsia="华文仿宋" w:cs="华文仿宋"/>
          <w:sz w:val="28"/>
          <w:szCs w:val="28"/>
          <w:lang w:val="en-US" w:eastAsia="zh-CN"/>
        </w:rPr>
        <w:t>9月5日14:00前：完成学院推免工作细则并报送教务处；待审核通过后于学院网站公布；</w:t>
      </w:r>
    </w:p>
    <w:p w14:paraId="3FE57147">
      <w:pPr>
        <w:numPr>
          <w:ilvl w:val="0"/>
          <w:numId w:val="9"/>
        </w:numPr>
        <w:spacing w:line="360" w:lineRule="auto"/>
        <w:ind w:left="425" w:leftChars="0" w:hanging="425" w:firstLineChars="0"/>
        <w:rPr>
          <w:rFonts w:hint="eastAsia" w:ascii="华文仿宋" w:hAnsi="华文仿宋" w:eastAsia="华文仿宋" w:cs="华文仿宋"/>
          <w:sz w:val="28"/>
          <w:szCs w:val="28"/>
          <w:lang w:val="en-US" w:eastAsia="zh-CN"/>
        </w:rPr>
      </w:pPr>
      <w:r>
        <w:rPr>
          <w:rFonts w:hint="eastAsia" w:ascii="华文仿宋" w:hAnsi="华文仿宋" w:eastAsia="华文仿宋" w:cs="华文仿宋"/>
          <w:sz w:val="28"/>
          <w:szCs w:val="28"/>
          <w:lang w:val="en-US" w:eastAsia="zh-CN"/>
        </w:rPr>
        <w:t>9月6日-9月9日：组织学生申报，开展材料审核，组织创新和科研能力加分答辩；</w:t>
      </w:r>
    </w:p>
    <w:p w14:paraId="1C18B374">
      <w:pPr>
        <w:numPr>
          <w:ilvl w:val="0"/>
          <w:numId w:val="9"/>
        </w:numPr>
        <w:spacing w:line="360" w:lineRule="auto"/>
        <w:ind w:left="425" w:leftChars="0" w:hanging="425" w:firstLineChars="0"/>
        <w:rPr>
          <w:rFonts w:hint="eastAsia" w:ascii="华文仿宋" w:hAnsi="华文仿宋" w:eastAsia="华文仿宋" w:cs="华文仿宋"/>
          <w:sz w:val="28"/>
          <w:szCs w:val="28"/>
          <w:lang w:val="en-US" w:eastAsia="zh-CN"/>
        </w:rPr>
      </w:pPr>
      <w:r>
        <w:rPr>
          <w:rFonts w:hint="eastAsia" w:ascii="华文仿宋" w:hAnsi="华文仿宋" w:eastAsia="华文仿宋" w:cs="华文仿宋"/>
          <w:sz w:val="28"/>
          <w:szCs w:val="28"/>
          <w:lang w:val="en-US" w:eastAsia="zh-CN"/>
        </w:rPr>
        <w:t>9月9日-9月10日：</w:t>
      </w:r>
      <w:bookmarkStart w:id="0" w:name="_GoBack"/>
      <w:bookmarkEnd w:id="0"/>
      <w:r>
        <w:rPr>
          <w:rFonts w:hint="eastAsia" w:ascii="华文仿宋" w:hAnsi="华文仿宋" w:eastAsia="华文仿宋" w:cs="华文仿宋"/>
          <w:sz w:val="28"/>
          <w:szCs w:val="28"/>
          <w:lang w:val="en-US" w:eastAsia="zh-CN"/>
        </w:rPr>
        <w:t>遴选排序，确定院内推免名单，完成院内名单公示，报送全套推免材料至教务处。</w:t>
      </w:r>
    </w:p>
    <w:p w14:paraId="1DA6E8B8">
      <w:pPr>
        <w:numPr>
          <w:ilvl w:val="0"/>
          <w:numId w:val="1"/>
        </w:numPr>
        <w:spacing w:line="360" w:lineRule="auto"/>
        <w:ind w:left="0" w:leftChars="0" w:firstLine="420" w:firstLineChars="0"/>
        <w:rPr>
          <w:rFonts w:hint="eastAsia" w:ascii="黑体" w:hAnsi="黑体" w:eastAsia="黑体" w:cs="黑体"/>
          <w:b w:val="0"/>
          <w:bCs w:val="0"/>
          <w:sz w:val="28"/>
          <w:szCs w:val="28"/>
          <w:u w:val="double"/>
          <w:lang w:val="en-US" w:eastAsia="zh-CN"/>
        </w:rPr>
      </w:pPr>
      <w:r>
        <w:rPr>
          <w:rFonts w:hint="eastAsia" w:ascii="黑体" w:hAnsi="黑体" w:eastAsia="黑体" w:cs="黑体"/>
          <w:b w:val="0"/>
          <w:bCs w:val="0"/>
          <w:sz w:val="28"/>
          <w:szCs w:val="28"/>
          <w:u w:val="double"/>
          <w:lang w:val="en-US" w:eastAsia="zh-CN"/>
        </w:rPr>
        <w:t>本工作细则由统计与数据科学学院负责解释，未尽事宜以上级文件为准。</w:t>
      </w:r>
    </w:p>
    <w:p w14:paraId="265A74B0">
      <w:pPr>
        <w:spacing w:line="360" w:lineRule="auto"/>
        <w:ind w:firstLine="480" w:firstLineChars="200"/>
        <w:rPr>
          <w:rFonts w:ascii="宋体" w:hAnsi="宋体" w:eastAsia="宋体"/>
          <w:sz w:val="24"/>
          <w:szCs w:val="24"/>
        </w:rPr>
      </w:pPr>
    </w:p>
    <w:p w14:paraId="3069523C">
      <w:pPr>
        <w:spacing w:line="360" w:lineRule="auto"/>
        <w:ind w:firstLine="480" w:firstLineChars="200"/>
        <w:jc w:val="right"/>
        <w:rPr>
          <w:rFonts w:ascii="宋体" w:hAnsi="宋体" w:eastAsia="宋体"/>
          <w:sz w:val="24"/>
          <w:szCs w:val="24"/>
        </w:rPr>
      </w:pPr>
    </w:p>
    <w:p w14:paraId="54EE2570">
      <w:pPr>
        <w:spacing w:line="360" w:lineRule="auto"/>
        <w:ind w:firstLine="480" w:firstLineChars="200"/>
        <w:jc w:val="right"/>
        <w:rPr>
          <w:rFonts w:ascii="宋体" w:hAnsi="宋体" w:eastAsia="宋体"/>
          <w:sz w:val="24"/>
          <w:szCs w:val="24"/>
        </w:rPr>
      </w:pPr>
    </w:p>
    <w:p w14:paraId="07D96144">
      <w:pPr>
        <w:spacing w:line="360" w:lineRule="auto"/>
        <w:ind w:firstLine="560" w:firstLineChars="200"/>
        <w:jc w:val="right"/>
        <w:rPr>
          <w:rFonts w:ascii="宋体" w:hAnsi="宋体" w:eastAsia="宋体"/>
          <w:sz w:val="28"/>
          <w:szCs w:val="28"/>
        </w:rPr>
      </w:pPr>
      <w:r>
        <w:rPr>
          <w:rFonts w:hint="eastAsia" w:ascii="宋体" w:hAnsi="宋体" w:eastAsia="宋体"/>
          <w:sz w:val="28"/>
          <w:szCs w:val="28"/>
        </w:rPr>
        <w:t>统计</w:t>
      </w:r>
      <w:r>
        <w:rPr>
          <w:rFonts w:hint="eastAsia" w:ascii="宋体" w:hAnsi="宋体" w:eastAsia="宋体"/>
          <w:sz w:val="28"/>
          <w:szCs w:val="28"/>
          <w:lang w:val="en-US" w:eastAsia="zh-CN"/>
        </w:rPr>
        <w:t>与数据科学</w:t>
      </w:r>
      <w:r>
        <w:rPr>
          <w:rFonts w:hint="eastAsia" w:ascii="宋体" w:hAnsi="宋体" w:eastAsia="宋体"/>
          <w:sz w:val="28"/>
          <w:szCs w:val="28"/>
        </w:rPr>
        <w:t>学院</w:t>
      </w:r>
    </w:p>
    <w:p w14:paraId="1CA5F6BC">
      <w:pPr>
        <w:spacing w:line="360" w:lineRule="auto"/>
        <w:ind w:firstLine="560" w:firstLineChars="200"/>
        <w:jc w:val="right"/>
        <w:rPr>
          <w:sz w:val="28"/>
          <w:szCs w:val="28"/>
        </w:rPr>
      </w:pPr>
      <w:r>
        <w:rPr>
          <w:rFonts w:hint="eastAsia" w:ascii="宋体" w:hAnsi="宋体" w:eastAsia="宋体"/>
          <w:sz w:val="28"/>
          <w:szCs w:val="28"/>
        </w:rPr>
        <w:t>202</w:t>
      </w:r>
      <w:r>
        <w:rPr>
          <w:rFonts w:hint="eastAsia" w:ascii="宋体" w:hAnsi="宋体" w:eastAsia="宋体"/>
          <w:sz w:val="28"/>
          <w:szCs w:val="28"/>
          <w:lang w:val="en-US" w:eastAsia="zh-CN"/>
        </w:rPr>
        <w:t>6</w:t>
      </w:r>
      <w:r>
        <w:rPr>
          <w:rFonts w:hint="eastAsia" w:ascii="宋体" w:hAnsi="宋体" w:eastAsia="宋体"/>
          <w:sz w:val="28"/>
          <w:szCs w:val="28"/>
        </w:rPr>
        <w:t>年</w:t>
      </w:r>
      <w:r>
        <w:rPr>
          <w:rFonts w:hint="eastAsia" w:ascii="宋体" w:hAnsi="宋体" w:eastAsia="宋体"/>
          <w:sz w:val="28"/>
          <w:szCs w:val="28"/>
          <w:lang w:val="en-US" w:eastAsia="zh-CN"/>
        </w:rPr>
        <w:t>9</w:t>
      </w:r>
      <w:r>
        <w:rPr>
          <w:rFonts w:hint="eastAsia" w:ascii="宋体" w:hAnsi="宋体" w:eastAsia="宋体"/>
          <w:sz w:val="28"/>
          <w:szCs w:val="28"/>
        </w:rPr>
        <w:t>月</w:t>
      </w:r>
      <w:r>
        <w:rPr>
          <w:rFonts w:hint="eastAsia" w:ascii="宋体" w:hAnsi="宋体" w:eastAsia="宋体"/>
          <w:sz w:val="28"/>
          <w:szCs w:val="28"/>
          <w:lang w:val="en-US" w:eastAsia="zh-CN"/>
        </w:rPr>
        <w:t>4</w:t>
      </w:r>
      <w:r>
        <w:rPr>
          <w:rFonts w:hint="eastAsia" w:ascii="宋体" w:hAnsi="宋体" w:eastAsia="宋体"/>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C741C64-3DB1-4122-BA09-A3299381CE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A00002BF" w:usb1="38CF7CFA" w:usb2="00082016" w:usb3="00000000" w:csb0="00040001" w:csb1="00000000"/>
    <w:embedRegular r:id="rId2" w:fontKey="{02BE6E42-7E2D-4DFA-95CB-8B154B710368}"/>
  </w:font>
  <w:font w:name="华文仿宋">
    <w:panose1 w:val="02010600040101010101"/>
    <w:charset w:val="86"/>
    <w:family w:val="auto"/>
    <w:pitch w:val="default"/>
    <w:sig w:usb0="00000287" w:usb1="080F0000" w:usb2="00000000" w:usb3="00000000" w:csb0="0004009F" w:csb1="DFD70000"/>
    <w:embedRegular r:id="rId3" w:fontKey="{5070BB03-62BE-47BC-B75E-1B4223DB91D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88975C"/>
    <w:multiLevelType w:val="singleLevel"/>
    <w:tmpl w:val="E088975C"/>
    <w:lvl w:ilvl="0" w:tentative="0">
      <w:start w:val="1"/>
      <w:numFmt w:val="decimal"/>
      <w:lvlText w:val="%1."/>
      <w:lvlJc w:val="left"/>
      <w:pPr>
        <w:ind w:left="425" w:hanging="425"/>
      </w:pPr>
      <w:rPr>
        <w:rFonts w:hint="default"/>
      </w:rPr>
    </w:lvl>
  </w:abstractNum>
  <w:abstractNum w:abstractNumId="1">
    <w:nsid w:val="EBFCC746"/>
    <w:multiLevelType w:val="singleLevel"/>
    <w:tmpl w:val="EBFCC746"/>
    <w:lvl w:ilvl="0" w:tentative="0">
      <w:start w:val="1"/>
      <w:numFmt w:val="decimal"/>
      <w:lvlText w:val="%1."/>
      <w:lvlJc w:val="left"/>
      <w:pPr>
        <w:ind w:left="425" w:hanging="425"/>
      </w:pPr>
      <w:rPr>
        <w:rFonts w:hint="default"/>
      </w:rPr>
    </w:lvl>
  </w:abstractNum>
  <w:abstractNum w:abstractNumId="2">
    <w:nsid w:val="FFE9132C"/>
    <w:multiLevelType w:val="singleLevel"/>
    <w:tmpl w:val="FFE9132C"/>
    <w:lvl w:ilvl="0" w:tentative="0">
      <w:start w:val="1"/>
      <w:numFmt w:val="decimal"/>
      <w:lvlText w:val="%1."/>
      <w:lvlJc w:val="left"/>
      <w:pPr>
        <w:ind w:left="425" w:hanging="425"/>
      </w:pPr>
      <w:rPr>
        <w:rFonts w:hint="default"/>
      </w:rPr>
    </w:lvl>
  </w:abstractNum>
  <w:abstractNum w:abstractNumId="3">
    <w:nsid w:val="038554CF"/>
    <w:multiLevelType w:val="singleLevel"/>
    <w:tmpl w:val="038554CF"/>
    <w:lvl w:ilvl="0" w:tentative="0">
      <w:start w:val="1"/>
      <w:numFmt w:val="decimal"/>
      <w:lvlText w:val="%1."/>
      <w:lvlJc w:val="left"/>
      <w:pPr>
        <w:ind w:left="425" w:hanging="425"/>
      </w:pPr>
      <w:rPr>
        <w:rFonts w:hint="default"/>
      </w:rPr>
    </w:lvl>
  </w:abstractNum>
  <w:abstractNum w:abstractNumId="4">
    <w:nsid w:val="123FA7CC"/>
    <w:multiLevelType w:val="singleLevel"/>
    <w:tmpl w:val="123FA7CC"/>
    <w:lvl w:ilvl="0" w:tentative="0">
      <w:start w:val="1"/>
      <w:numFmt w:val="chineseCounting"/>
      <w:suff w:val="nothing"/>
      <w:lvlText w:val="%1、"/>
      <w:lvlJc w:val="left"/>
      <w:pPr>
        <w:ind w:left="0" w:firstLine="420"/>
      </w:pPr>
      <w:rPr>
        <w:rFonts w:hint="eastAsia"/>
      </w:rPr>
    </w:lvl>
  </w:abstractNum>
  <w:abstractNum w:abstractNumId="5">
    <w:nsid w:val="20EA135E"/>
    <w:multiLevelType w:val="singleLevel"/>
    <w:tmpl w:val="20EA135E"/>
    <w:lvl w:ilvl="0" w:tentative="0">
      <w:start w:val="1"/>
      <w:numFmt w:val="decimal"/>
      <w:lvlText w:val="%1."/>
      <w:lvlJc w:val="left"/>
      <w:pPr>
        <w:ind w:left="425" w:hanging="425"/>
      </w:pPr>
      <w:rPr>
        <w:rFonts w:hint="default"/>
      </w:rPr>
    </w:lvl>
  </w:abstractNum>
  <w:abstractNum w:abstractNumId="6">
    <w:nsid w:val="353F202B"/>
    <w:multiLevelType w:val="singleLevel"/>
    <w:tmpl w:val="353F202B"/>
    <w:lvl w:ilvl="0" w:tentative="0">
      <w:start w:val="1"/>
      <w:numFmt w:val="decimal"/>
      <w:lvlText w:val="%1."/>
      <w:lvlJc w:val="left"/>
      <w:pPr>
        <w:ind w:left="425" w:hanging="425"/>
      </w:pPr>
      <w:rPr>
        <w:rFonts w:hint="default"/>
      </w:rPr>
    </w:lvl>
  </w:abstractNum>
  <w:abstractNum w:abstractNumId="7">
    <w:nsid w:val="6D6F2BD2"/>
    <w:multiLevelType w:val="singleLevel"/>
    <w:tmpl w:val="6D6F2BD2"/>
    <w:lvl w:ilvl="0" w:tentative="0">
      <w:start w:val="1"/>
      <w:numFmt w:val="decimal"/>
      <w:lvlText w:val="(%1)"/>
      <w:lvlJc w:val="left"/>
      <w:pPr>
        <w:ind w:left="425" w:hanging="425"/>
      </w:pPr>
      <w:rPr>
        <w:rFonts w:hint="default"/>
      </w:rPr>
    </w:lvl>
  </w:abstractNum>
  <w:abstractNum w:abstractNumId="8">
    <w:nsid w:val="74A7E704"/>
    <w:multiLevelType w:val="singleLevel"/>
    <w:tmpl w:val="74A7E704"/>
    <w:lvl w:ilvl="0" w:tentative="0">
      <w:start w:val="1"/>
      <w:numFmt w:val="decimal"/>
      <w:lvlText w:val="%1."/>
      <w:lvlJc w:val="left"/>
      <w:pPr>
        <w:ind w:left="425" w:hanging="425"/>
      </w:pPr>
      <w:rPr>
        <w:rFonts w:hint="default"/>
      </w:rPr>
    </w:lvl>
  </w:abstractNum>
  <w:num w:numId="1">
    <w:abstractNumId w:val="4"/>
  </w:num>
  <w:num w:numId="2">
    <w:abstractNumId w:val="3"/>
  </w:num>
  <w:num w:numId="3">
    <w:abstractNumId w:val="0"/>
  </w:num>
  <w:num w:numId="4">
    <w:abstractNumId w:val="5"/>
  </w:num>
  <w:num w:numId="5">
    <w:abstractNumId w:val="1"/>
  </w:num>
  <w:num w:numId="6">
    <w:abstractNumId w:val="7"/>
  </w:num>
  <w:num w:numId="7">
    <w:abstractNumId w:val="2"/>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5NjBiM2Y5MjcyMjVkMzM5MDdlNzA3ZTk3MWQ3YTEifQ=="/>
  </w:docVars>
  <w:rsids>
    <w:rsidRoot w:val="00A15223"/>
    <w:rsid w:val="000C04C6"/>
    <w:rsid w:val="000D32C7"/>
    <w:rsid w:val="001E602B"/>
    <w:rsid w:val="00277D50"/>
    <w:rsid w:val="0029009C"/>
    <w:rsid w:val="002C07DE"/>
    <w:rsid w:val="0032226D"/>
    <w:rsid w:val="005244B7"/>
    <w:rsid w:val="006274F3"/>
    <w:rsid w:val="00692A5A"/>
    <w:rsid w:val="006B0AAC"/>
    <w:rsid w:val="007F1896"/>
    <w:rsid w:val="007F6D39"/>
    <w:rsid w:val="0087101A"/>
    <w:rsid w:val="00905F1A"/>
    <w:rsid w:val="00975F83"/>
    <w:rsid w:val="009D1EE0"/>
    <w:rsid w:val="00A15223"/>
    <w:rsid w:val="00A5602A"/>
    <w:rsid w:val="00A67587"/>
    <w:rsid w:val="00AB4C86"/>
    <w:rsid w:val="00B269B1"/>
    <w:rsid w:val="00B56503"/>
    <w:rsid w:val="00B96D7E"/>
    <w:rsid w:val="00BC6C85"/>
    <w:rsid w:val="00BD7156"/>
    <w:rsid w:val="00BF477E"/>
    <w:rsid w:val="00DC2D1F"/>
    <w:rsid w:val="00E1309B"/>
    <w:rsid w:val="00E204E2"/>
    <w:rsid w:val="00EA24E8"/>
    <w:rsid w:val="08222428"/>
    <w:rsid w:val="08CF23DC"/>
    <w:rsid w:val="09845A52"/>
    <w:rsid w:val="119569CB"/>
    <w:rsid w:val="1196456D"/>
    <w:rsid w:val="12B6331E"/>
    <w:rsid w:val="15AB7435"/>
    <w:rsid w:val="1BDF17D0"/>
    <w:rsid w:val="2A0837F0"/>
    <w:rsid w:val="2B413124"/>
    <w:rsid w:val="2C743D41"/>
    <w:rsid w:val="2CFF7E1F"/>
    <w:rsid w:val="32A56459"/>
    <w:rsid w:val="33211104"/>
    <w:rsid w:val="36965715"/>
    <w:rsid w:val="37DA3439"/>
    <w:rsid w:val="440713B1"/>
    <w:rsid w:val="44B83DA7"/>
    <w:rsid w:val="458F5C72"/>
    <w:rsid w:val="47676663"/>
    <w:rsid w:val="47EB5BC0"/>
    <w:rsid w:val="4AFD796F"/>
    <w:rsid w:val="4CF36840"/>
    <w:rsid w:val="50916416"/>
    <w:rsid w:val="530857EF"/>
    <w:rsid w:val="565F16B6"/>
    <w:rsid w:val="599F070F"/>
    <w:rsid w:val="5A7F320F"/>
    <w:rsid w:val="5EF7FE01"/>
    <w:rsid w:val="61A44D62"/>
    <w:rsid w:val="6D8D3E9E"/>
    <w:rsid w:val="70621332"/>
    <w:rsid w:val="708263E0"/>
    <w:rsid w:val="74E92D60"/>
    <w:rsid w:val="75C01B2F"/>
    <w:rsid w:val="7C944EF3"/>
    <w:rsid w:val="ADBD21B7"/>
    <w:rsid w:val="DD76397B"/>
    <w:rsid w:val="DFB5A057"/>
    <w:rsid w:val="EBBED8F5"/>
    <w:rsid w:val="FBF7FDB9"/>
    <w:rsid w:val="FED70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link w:val="14"/>
    <w:unhideWhenUsed/>
    <w:qFormat/>
    <w:uiPriority w:val="9"/>
    <w:pPr>
      <w:keepNext/>
      <w:keepLines/>
      <w:spacing w:before="260" w:after="260" w:line="416" w:lineRule="auto"/>
      <w:jc w:val="center"/>
      <w:outlineLvl w:val="1"/>
    </w:pPr>
    <w:rPr>
      <w:rFonts w:asciiTheme="majorHAnsi" w:hAnsiTheme="majorHAnsi" w:eastAsiaTheme="majorEastAsia" w:cstheme="majorBidi"/>
      <w:b/>
      <w:bCs/>
      <w:sz w:val="36"/>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alloon Text"/>
    <w:basedOn w:val="1"/>
    <w:link w:val="18"/>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Autospacing="1" w:afterAutospacing="1"/>
      <w:jc w:val="left"/>
    </w:pPr>
    <w:rPr>
      <w:rFonts w:cs="Times New Roman"/>
      <w:kern w:val="0"/>
      <w:sz w:val="24"/>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rPr>
  </w:style>
  <w:style w:type="character" w:styleId="13">
    <w:name w:val="Hyperlink"/>
    <w:basedOn w:val="11"/>
    <w:semiHidden/>
    <w:unhideWhenUsed/>
    <w:qFormat/>
    <w:uiPriority w:val="99"/>
    <w:rPr>
      <w:color w:val="0000FF"/>
      <w:u w:val="single"/>
    </w:rPr>
  </w:style>
  <w:style w:type="character" w:customStyle="1" w:styleId="14">
    <w:name w:val="标题 2 Char"/>
    <w:basedOn w:val="11"/>
    <w:link w:val="3"/>
    <w:qFormat/>
    <w:uiPriority w:val="9"/>
    <w:rPr>
      <w:rFonts w:asciiTheme="majorHAnsi" w:hAnsiTheme="majorHAnsi" w:eastAsiaTheme="majorEastAsia" w:cstheme="majorBidi"/>
      <w:b/>
      <w:bCs/>
      <w:sz w:val="36"/>
      <w:szCs w:val="32"/>
    </w:rPr>
  </w:style>
  <w:style w:type="character" w:customStyle="1" w:styleId="15">
    <w:name w:val="页眉 Char"/>
    <w:basedOn w:val="11"/>
    <w:link w:val="7"/>
    <w:qFormat/>
    <w:uiPriority w:val="99"/>
    <w:rPr>
      <w:sz w:val="18"/>
      <w:szCs w:val="18"/>
    </w:rPr>
  </w:style>
  <w:style w:type="character" w:customStyle="1" w:styleId="16">
    <w:name w:val="页脚 Char"/>
    <w:basedOn w:val="11"/>
    <w:link w:val="6"/>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批注框文本 Char"/>
    <w:basedOn w:val="11"/>
    <w:link w:val="5"/>
    <w:semiHidden/>
    <w:qFormat/>
    <w:uiPriority w:val="99"/>
    <w:rPr>
      <w:sz w:val="18"/>
      <w:szCs w:val="18"/>
    </w:rPr>
  </w:style>
  <w:style w:type="character" w:styleId="19">
    <w:name w:val="Placeholder Text"/>
    <w:basedOn w:val="11"/>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image" Target="media/image5.wmf"/><Relationship Id="rId8" Type="http://schemas.openxmlformats.org/officeDocument/2006/relationships/image" Target="media/image4.wmf"/><Relationship Id="rId7" Type="http://schemas.openxmlformats.org/officeDocument/2006/relationships/image" Target="media/image3.wmf"/><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6.w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2443</Words>
  <Characters>2584</Characters>
  <Lines>11</Lines>
  <Paragraphs>3</Paragraphs>
  <TotalTime>2</TotalTime>
  <ScaleCrop>false</ScaleCrop>
  <LinksUpToDate>false</LinksUpToDate>
  <CharactersWithSpaces>2613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2022-09-16T16:41:00Z</dcterms:created>
  <dc:creator>Dell</dc:creator>
  <cp:lastModifiedBy>孙溢婧</cp:lastModifiedBy>
  <cp:lastPrinted>2025-05-01T18:21:00Z</cp:lastPrinted>
  <dcterms:modified xsi:type="dcterms:W3CDTF">2026-09-07T09:55:37Z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165490EEA004463D91B6FB73B45B7677_13</vt:lpwstr>
  </property>
  <property fmtid="{D5CDD505-2E9C-101B-9397-08002B2CF9AE}" pid="4" name="KSOTemplateDocerSaveRecord">
    <vt:lpwstr>eyJoZGlkIjoiMGUzNzc2NGVmNzFmMDZjNTRjMzFjYTAyYTJlZTliMmYiLCJ1c2VySWQiOiIxNjYwNDE3NzcwIn0=</vt:lpwstr>
  </property>
</Properties>
</file>